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8513C" w14:textId="77777777" w:rsidR="001C363B" w:rsidRPr="001C363B" w:rsidRDefault="001C363B" w:rsidP="001C363B">
      <w:pPr>
        <w:jc w:val="center"/>
        <w:rPr>
          <w:caps/>
          <w:sz w:val="24"/>
          <w:szCs w:val="24"/>
        </w:rPr>
      </w:pPr>
      <w:r w:rsidRPr="001C363B">
        <w:rPr>
          <w:rFonts w:ascii="Times New Roman" w:hAnsi="Times New Roman"/>
          <w:b/>
          <w:bCs/>
          <w:caps/>
          <w:sz w:val="24"/>
          <w:szCs w:val="24"/>
        </w:rPr>
        <w:t>Multimédia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7"/>
        <w:gridCol w:w="2231"/>
      </w:tblGrid>
      <w:tr w:rsidR="009924FD" w:rsidRPr="001C363B" w14:paraId="6BE5ED27" w14:textId="77777777" w:rsidTr="001C363B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1308E" w14:textId="77777777" w:rsidR="009924FD" w:rsidRPr="001C363B" w:rsidRDefault="009924F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C363B">
              <w:rPr>
                <w:rFonts w:ascii="Times New Roman" w:hAnsi="Times New Roman"/>
                <w:b/>
                <w:bCs/>
              </w:rPr>
              <w:t>Tantárgy neve</w:t>
            </w:r>
            <w:r w:rsidRPr="001C363B">
              <w:rPr>
                <w:rFonts w:ascii="Times New Roman" w:hAnsi="Times New Roman"/>
              </w:rPr>
              <w:t>:</w:t>
            </w:r>
            <w:r w:rsidRPr="001C363B">
              <w:rPr>
                <w:rFonts w:ascii="Times New Roman" w:hAnsi="Times New Roman"/>
                <w:b/>
                <w:bCs/>
              </w:rPr>
              <w:t xml:space="preserve"> Multimédia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0958C" w14:textId="77777777" w:rsidR="009924FD" w:rsidRPr="001C363B" w:rsidRDefault="009924FD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C363B">
              <w:rPr>
                <w:rFonts w:ascii="Times New Roman" w:hAnsi="Times New Roman"/>
                <w:b/>
                <w:bCs/>
              </w:rPr>
              <w:t xml:space="preserve">Kreditértéke: </w:t>
            </w:r>
            <w:r w:rsidR="00EB04AE" w:rsidRPr="001C363B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9924FD" w:rsidRPr="001C363B" w14:paraId="07F975E3" w14:textId="77777777">
        <w:tblPrEx>
          <w:tblCellMar>
            <w:top w:w="0" w:type="dxa"/>
            <w:bottom w:w="0" w:type="dxa"/>
          </w:tblCellMar>
        </w:tblPrEx>
        <w:tc>
          <w:tcPr>
            <w:tcW w:w="9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F471" w14:textId="77777777" w:rsidR="009924FD" w:rsidRPr="001C363B" w:rsidRDefault="009924FD">
            <w:pPr>
              <w:widowControl w:val="0"/>
              <w:suppressAutoHyphens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 w:rsidRPr="001C363B">
              <w:rPr>
                <w:rFonts w:ascii="Times New Roman" w:hAnsi="Times New Roman"/>
                <w:b/>
                <w:bCs/>
              </w:rPr>
              <w:t>A tantárgy elméleti vagy gyakorlati jellegének mértéke, „képzési karaktere”</w:t>
            </w:r>
            <w:r w:rsidRPr="001C363B">
              <w:rPr>
                <w:rFonts w:ascii="Times New Roman" w:hAnsi="Times New Roman"/>
              </w:rPr>
              <w:t xml:space="preserve">: </w:t>
            </w:r>
            <w:r w:rsidR="00EB04AE" w:rsidRPr="001C363B">
              <w:rPr>
                <w:rFonts w:ascii="Times New Roman" w:hAnsi="Times New Roman"/>
                <w:b/>
                <w:bCs/>
              </w:rPr>
              <w:t>7</w:t>
            </w:r>
            <w:r w:rsidRPr="001C363B">
              <w:rPr>
                <w:rFonts w:ascii="Times New Roman" w:hAnsi="Times New Roman"/>
                <w:b/>
                <w:bCs/>
              </w:rPr>
              <w:t xml:space="preserve">0 % </w:t>
            </w:r>
            <w:proofErr w:type="spellStart"/>
            <w:r w:rsidR="00EB04AE" w:rsidRPr="001C363B">
              <w:rPr>
                <w:rFonts w:ascii="Times New Roman" w:hAnsi="Times New Roman"/>
              </w:rPr>
              <w:t>gyak</w:t>
            </w:r>
            <w:proofErr w:type="spellEnd"/>
            <w:r w:rsidR="00EB04AE" w:rsidRPr="001C363B">
              <w:rPr>
                <w:rFonts w:ascii="Times New Roman" w:hAnsi="Times New Roman"/>
              </w:rPr>
              <w:t xml:space="preserve">. 30% </w:t>
            </w:r>
            <w:proofErr w:type="spellStart"/>
            <w:r w:rsidR="00EB04AE" w:rsidRPr="001C363B">
              <w:rPr>
                <w:rFonts w:ascii="Times New Roman" w:hAnsi="Times New Roman"/>
              </w:rPr>
              <w:t>elm</w:t>
            </w:r>
            <w:proofErr w:type="spellEnd"/>
            <w:r w:rsidR="00EB04AE" w:rsidRPr="001C363B">
              <w:rPr>
                <w:rFonts w:ascii="Times New Roman" w:hAnsi="Times New Roman"/>
              </w:rPr>
              <w:t>.</w:t>
            </w:r>
          </w:p>
        </w:tc>
      </w:tr>
      <w:tr w:rsidR="009924FD" w:rsidRPr="001C363B" w14:paraId="0AF73553" w14:textId="77777777">
        <w:tblPrEx>
          <w:tblCellMar>
            <w:top w:w="0" w:type="dxa"/>
            <w:bottom w:w="0" w:type="dxa"/>
          </w:tblCellMar>
        </w:tblPrEx>
        <w:tc>
          <w:tcPr>
            <w:tcW w:w="9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90F" w14:textId="77777777" w:rsidR="009924FD" w:rsidRPr="001C363B" w:rsidRDefault="009924FD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1C363B">
              <w:rPr>
                <w:rFonts w:ascii="Times New Roman" w:hAnsi="Times New Roman"/>
              </w:rPr>
              <w:t xml:space="preserve">A </w:t>
            </w:r>
            <w:r w:rsidRPr="001C363B">
              <w:rPr>
                <w:rFonts w:ascii="Times New Roman" w:hAnsi="Times New Roman"/>
                <w:b/>
                <w:bCs/>
              </w:rPr>
              <w:t>tanóra típusa</w:t>
            </w:r>
            <w:r w:rsidRPr="001C363B">
              <w:rPr>
                <w:rFonts w:ascii="Times New Roman" w:hAnsi="Times New Roman"/>
              </w:rPr>
              <w:t>: előadás és óraszáma: 52</w:t>
            </w:r>
            <w:r w:rsidR="001C363B" w:rsidRPr="001C363B">
              <w:rPr>
                <w:rFonts w:ascii="Times New Roman" w:hAnsi="Times New Roman"/>
              </w:rPr>
              <w:t xml:space="preserve"> óra az első félévben és </w:t>
            </w:r>
            <w:r w:rsidRPr="001C363B">
              <w:rPr>
                <w:rFonts w:ascii="Times New Roman" w:hAnsi="Times New Roman"/>
              </w:rPr>
              <w:t xml:space="preserve">60 </w:t>
            </w:r>
            <w:r w:rsidR="001C363B" w:rsidRPr="001C363B">
              <w:rPr>
                <w:rFonts w:ascii="Times New Roman" w:hAnsi="Times New Roman"/>
              </w:rPr>
              <w:t>óra a második</w:t>
            </w:r>
            <w:r w:rsidRPr="001C363B">
              <w:rPr>
                <w:rFonts w:ascii="Times New Roman" w:hAnsi="Times New Roman"/>
              </w:rPr>
              <w:t xml:space="preserve"> félévben,</w:t>
            </w:r>
          </w:p>
          <w:p w14:paraId="212FE2A4" w14:textId="77777777" w:rsidR="009924FD" w:rsidRPr="001C363B" w:rsidRDefault="009924FD" w:rsidP="00DE6501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1C363B">
              <w:rPr>
                <w:rFonts w:ascii="Times New Roman" w:hAnsi="Times New Roman"/>
                <w:b/>
                <w:bCs/>
              </w:rPr>
              <w:t>nyelve</w:t>
            </w:r>
            <w:r w:rsidRPr="001C363B">
              <w:rPr>
                <w:rFonts w:ascii="Times New Roman" w:hAnsi="Times New Roman"/>
              </w:rPr>
              <w:t>: magyar és angol</w:t>
            </w:r>
          </w:p>
          <w:p w14:paraId="45167E47" w14:textId="77777777" w:rsidR="009924FD" w:rsidRPr="001C363B" w:rsidRDefault="009924FD" w:rsidP="001C363B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1C363B">
              <w:rPr>
                <w:rFonts w:ascii="Times New Roman" w:hAnsi="Times New Roman"/>
              </w:rPr>
              <w:t xml:space="preserve">Az adott ismeret átadásában alkalmazandó </w:t>
            </w:r>
            <w:r w:rsidRPr="001C363B">
              <w:rPr>
                <w:rFonts w:ascii="Times New Roman" w:hAnsi="Times New Roman"/>
                <w:b/>
                <w:bCs/>
              </w:rPr>
              <w:t>további</w:t>
            </w:r>
            <w:r w:rsidRPr="001C363B">
              <w:rPr>
                <w:rFonts w:ascii="Times New Roman" w:hAnsi="Times New Roman"/>
              </w:rPr>
              <w:t xml:space="preserve"> </w:t>
            </w:r>
            <w:r w:rsidRPr="001C363B">
              <w:rPr>
                <w:rFonts w:ascii="Times New Roman" w:hAnsi="Times New Roman"/>
                <w:b/>
                <w:bCs/>
              </w:rPr>
              <w:t>módok, jellemzők</w:t>
            </w:r>
            <w:r w:rsidRPr="001C363B">
              <w:rPr>
                <w:rFonts w:ascii="Times New Roman" w:hAnsi="Times New Roman"/>
              </w:rPr>
              <w:t>:</w:t>
            </w:r>
            <w:r w:rsidR="001C363B" w:rsidRPr="001C363B">
              <w:rPr>
                <w:rFonts w:ascii="Times New Roman" w:hAnsi="Times New Roman"/>
              </w:rPr>
              <w:t xml:space="preserve"> </w:t>
            </w:r>
            <w:r w:rsidRPr="001C363B">
              <w:rPr>
                <w:rFonts w:ascii="Times New Roman" w:hAnsi="Times New Roman"/>
              </w:rPr>
              <w:t>Számítógépes labor, digitális képalkotó és egyéb beviteli eszközök használata, vetített példák alapján.</w:t>
            </w:r>
          </w:p>
        </w:tc>
      </w:tr>
      <w:tr w:rsidR="009924FD" w:rsidRPr="001C363B" w14:paraId="1A6E470A" w14:textId="77777777">
        <w:tblPrEx>
          <w:tblCellMar>
            <w:top w:w="0" w:type="dxa"/>
            <w:bottom w:w="0" w:type="dxa"/>
          </w:tblCellMar>
        </w:tblPrEx>
        <w:tc>
          <w:tcPr>
            <w:tcW w:w="9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56839" w14:textId="77777777" w:rsidR="009924FD" w:rsidRPr="001C363B" w:rsidRDefault="009924FD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1C363B">
              <w:rPr>
                <w:rFonts w:ascii="Times New Roman" w:hAnsi="Times New Roman"/>
              </w:rPr>
              <w:t xml:space="preserve">A </w:t>
            </w:r>
            <w:r w:rsidRPr="001C363B">
              <w:rPr>
                <w:rFonts w:ascii="Times New Roman" w:hAnsi="Times New Roman"/>
                <w:b/>
                <w:bCs/>
              </w:rPr>
              <w:t xml:space="preserve">számonkérés </w:t>
            </w:r>
            <w:r w:rsidRPr="001C363B">
              <w:rPr>
                <w:rFonts w:ascii="Times New Roman" w:hAnsi="Times New Roman"/>
              </w:rPr>
              <w:t>módja (</w:t>
            </w:r>
            <w:proofErr w:type="spellStart"/>
            <w:r w:rsidRPr="001C363B">
              <w:rPr>
                <w:rFonts w:ascii="Times New Roman" w:hAnsi="Times New Roman"/>
              </w:rPr>
              <w:t>koll</w:t>
            </w:r>
            <w:proofErr w:type="spellEnd"/>
            <w:r w:rsidRPr="001C363B">
              <w:rPr>
                <w:rFonts w:ascii="Times New Roman" w:hAnsi="Times New Roman"/>
              </w:rPr>
              <w:t xml:space="preserve">. / </w:t>
            </w:r>
            <w:proofErr w:type="spellStart"/>
            <w:r w:rsidRPr="001C363B">
              <w:rPr>
                <w:rFonts w:ascii="Times New Roman" w:hAnsi="Times New Roman"/>
              </w:rPr>
              <w:t>gyj</w:t>
            </w:r>
            <w:proofErr w:type="spellEnd"/>
            <w:r w:rsidRPr="001C363B">
              <w:rPr>
                <w:rFonts w:ascii="Times New Roman" w:hAnsi="Times New Roman"/>
              </w:rPr>
              <w:t>. / egyéb): koll</w:t>
            </w:r>
            <w:r w:rsidR="001C363B" w:rsidRPr="001C363B">
              <w:rPr>
                <w:rFonts w:ascii="Times New Roman" w:hAnsi="Times New Roman"/>
              </w:rPr>
              <w:t>okvium</w:t>
            </w:r>
            <w:r w:rsidRPr="001C363B">
              <w:rPr>
                <w:rFonts w:ascii="Times New Roman" w:hAnsi="Times New Roman"/>
              </w:rPr>
              <w:t>.</w:t>
            </w:r>
          </w:p>
          <w:p w14:paraId="583C3FF4" w14:textId="77777777" w:rsidR="009924FD" w:rsidRPr="001C363B" w:rsidRDefault="009924FD" w:rsidP="001C363B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1C363B">
              <w:rPr>
                <w:rFonts w:ascii="Times New Roman" w:hAnsi="Times New Roman"/>
              </w:rPr>
              <w:t xml:space="preserve">Az ismeretellenőrzésben alkalmazandó </w:t>
            </w:r>
            <w:r w:rsidRPr="001C363B">
              <w:rPr>
                <w:rFonts w:ascii="Times New Roman" w:hAnsi="Times New Roman"/>
                <w:b/>
                <w:bCs/>
              </w:rPr>
              <w:t xml:space="preserve">további </w:t>
            </w:r>
            <w:r w:rsidRPr="001C363B">
              <w:rPr>
                <w:rFonts w:ascii="Times New Roman" w:hAnsi="Times New Roman"/>
              </w:rPr>
              <w:t xml:space="preserve">(sajátos) </w:t>
            </w:r>
            <w:r w:rsidRPr="001C363B">
              <w:rPr>
                <w:rFonts w:ascii="Times New Roman" w:hAnsi="Times New Roman"/>
                <w:b/>
                <w:bCs/>
              </w:rPr>
              <w:t>módok:</w:t>
            </w:r>
            <w:r w:rsidR="001C363B" w:rsidRPr="001C363B">
              <w:rPr>
                <w:rFonts w:ascii="Times New Roman" w:hAnsi="Times New Roman"/>
                <w:b/>
                <w:bCs/>
              </w:rPr>
              <w:t xml:space="preserve"> </w:t>
            </w:r>
            <w:r w:rsidRPr="001C363B">
              <w:rPr>
                <w:rFonts w:ascii="Times New Roman" w:hAnsi="Times New Roman"/>
              </w:rPr>
              <w:t xml:space="preserve">A hallgató közösen vagy egyénileg oldja meg a megállapodás szerinti vizsgafeladatot </w:t>
            </w:r>
          </w:p>
        </w:tc>
      </w:tr>
      <w:tr w:rsidR="009924FD" w:rsidRPr="001C363B" w14:paraId="2FC09EDA" w14:textId="77777777">
        <w:tblPrEx>
          <w:tblCellMar>
            <w:top w:w="0" w:type="dxa"/>
            <w:bottom w:w="0" w:type="dxa"/>
          </w:tblCellMar>
        </w:tblPrEx>
        <w:tc>
          <w:tcPr>
            <w:tcW w:w="9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047B" w14:textId="77777777" w:rsidR="009924FD" w:rsidRPr="001C363B" w:rsidRDefault="009924FD" w:rsidP="00DE650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363B">
              <w:rPr>
                <w:rFonts w:ascii="Times New Roman" w:hAnsi="Times New Roman"/>
              </w:rPr>
              <w:t xml:space="preserve">A tantárgy </w:t>
            </w:r>
            <w:r w:rsidRPr="001C363B">
              <w:rPr>
                <w:rFonts w:ascii="Times New Roman" w:hAnsi="Times New Roman"/>
                <w:b/>
                <w:bCs/>
              </w:rPr>
              <w:t>tantervi helye</w:t>
            </w:r>
            <w:r w:rsidRPr="001C363B">
              <w:rPr>
                <w:rFonts w:ascii="Times New Roman" w:hAnsi="Times New Roman"/>
              </w:rPr>
              <w:t xml:space="preserve"> (hányadik félév): </w:t>
            </w:r>
            <w:r w:rsidR="00DE6501" w:rsidRPr="001C363B">
              <w:rPr>
                <w:rFonts w:ascii="Times New Roman" w:hAnsi="Times New Roman"/>
              </w:rPr>
              <w:t>7.</w:t>
            </w:r>
            <w:r w:rsidR="001C363B" w:rsidRPr="001C363B">
              <w:rPr>
                <w:rFonts w:ascii="Times New Roman" w:hAnsi="Times New Roman"/>
              </w:rPr>
              <w:t xml:space="preserve"> és </w:t>
            </w:r>
            <w:r w:rsidR="00DE6501" w:rsidRPr="001C363B">
              <w:rPr>
                <w:rFonts w:ascii="Times New Roman" w:hAnsi="Times New Roman"/>
              </w:rPr>
              <w:t>8.</w:t>
            </w:r>
            <w:r w:rsidR="00EB04AE" w:rsidRPr="001C363B">
              <w:rPr>
                <w:rFonts w:ascii="Times New Roman" w:hAnsi="Times New Roman"/>
              </w:rPr>
              <w:t xml:space="preserve"> szemeszter </w:t>
            </w:r>
          </w:p>
        </w:tc>
      </w:tr>
      <w:tr w:rsidR="009924FD" w:rsidRPr="001C363B" w14:paraId="5065B362" w14:textId="77777777">
        <w:tblPrEx>
          <w:tblCellMar>
            <w:top w:w="0" w:type="dxa"/>
            <w:bottom w:w="0" w:type="dxa"/>
          </w:tblCellMar>
        </w:tblPrEx>
        <w:tc>
          <w:tcPr>
            <w:tcW w:w="9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AE591" w14:textId="77777777" w:rsidR="009924FD" w:rsidRPr="001C363B" w:rsidRDefault="009924F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363B">
              <w:rPr>
                <w:rFonts w:ascii="Times New Roman" w:hAnsi="Times New Roman"/>
              </w:rPr>
              <w:t>Előtanulmányi feltételek (ha vannak):</w:t>
            </w:r>
            <w:r w:rsidR="002232B8" w:rsidRPr="001C363B">
              <w:rPr>
                <w:rFonts w:ascii="Times New Roman" w:hAnsi="Times New Roman"/>
              </w:rPr>
              <w:t xml:space="preserve"> Programozástechnika, Számítógép történet</w:t>
            </w:r>
          </w:p>
        </w:tc>
      </w:tr>
      <w:tr w:rsidR="009924FD" w:rsidRPr="001C363B" w14:paraId="4B7AFBF9" w14:textId="77777777">
        <w:tblPrEx>
          <w:tblCellMar>
            <w:top w:w="0" w:type="dxa"/>
            <w:bottom w:w="0" w:type="dxa"/>
          </w:tblCellMar>
        </w:tblPrEx>
        <w:tc>
          <w:tcPr>
            <w:tcW w:w="9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89EB" w14:textId="77777777" w:rsidR="009924FD" w:rsidRPr="001C363B" w:rsidRDefault="009924FD" w:rsidP="001C363B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b/>
                <w:bCs/>
              </w:rPr>
            </w:pPr>
            <w:r w:rsidRPr="001C363B">
              <w:rPr>
                <w:rFonts w:ascii="Times New Roman" w:hAnsi="Times New Roman"/>
                <w:b/>
                <w:bCs/>
              </w:rPr>
              <w:t>Tantárgy-leírás</w:t>
            </w:r>
            <w:r w:rsidRPr="001C363B">
              <w:rPr>
                <w:rFonts w:ascii="Times New Roman" w:hAnsi="Times New Roman"/>
              </w:rPr>
              <w:t xml:space="preserve">: az elsajátítandó </w:t>
            </w:r>
            <w:r w:rsidRPr="001C363B">
              <w:rPr>
                <w:rFonts w:ascii="Times New Roman" w:hAnsi="Times New Roman"/>
                <w:b/>
                <w:bCs/>
              </w:rPr>
              <w:t>ismeretanyag tömör, ugyanakkor informáló le</w:t>
            </w:r>
            <w:r w:rsidR="00366014" w:rsidRPr="001C363B">
              <w:rPr>
                <w:rFonts w:ascii="Times New Roman" w:hAnsi="Times New Roman"/>
                <w:b/>
                <w:bCs/>
              </w:rPr>
              <w:t>írása (magyarul és angolul is)</w:t>
            </w:r>
          </w:p>
        </w:tc>
      </w:tr>
      <w:tr w:rsidR="001C363B" w:rsidRPr="001C363B" w14:paraId="7BC6215D" w14:textId="77777777">
        <w:tblPrEx>
          <w:tblCellMar>
            <w:top w:w="0" w:type="dxa"/>
            <w:bottom w:w="0" w:type="dxa"/>
          </w:tblCellMar>
        </w:tblPrEx>
        <w:tc>
          <w:tcPr>
            <w:tcW w:w="9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1661C" w14:textId="77777777" w:rsidR="001C363B" w:rsidRPr="001C363B" w:rsidRDefault="001C363B" w:rsidP="001C363B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bCs/>
              </w:rPr>
            </w:pPr>
            <w:r w:rsidRPr="001C363B">
              <w:rPr>
                <w:rFonts w:ascii="Times New Roman" w:hAnsi="Times New Roman"/>
                <w:bCs/>
              </w:rPr>
              <w:t xml:space="preserve">A Multimédia tantárgy célja önálló alkotói képességek kialakítása, a technikai eszközökkel való megismerkedés, és a tapasztalatok szélesebb körben történő hasznosítása. A kurzusra jelentkezők már nem teljesen járatlanok a technikai médiumok,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kompjuter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, videó,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virtualizáció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fogalmának értelmezésében, ahogyan vannak tapasztalataik ezek alkalmazása terén is. A tantárgy mindazonáltal nyitott és befogadó a megalapozatlan elképzelések iránt is, amelyek gyakran közelebb állnak a megvalósuláshoz, mint a körültekintően felépített projektek. A programok megvalósításának feltétele a koncepció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algoritmizálhatósága</w:t>
            </w:r>
            <w:proofErr w:type="spellEnd"/>
            <w:r w:rsidRPr="001C363B">
              <w:rPr>
                <w:rFonts w:ascii="Times New Roman" w:hAnsi="Times New Roman"/>
                <w:bCs/>
              </w:rPr>
              <w:t>.</w:t>
            </w:r>
          </w:p>
          <w:p w14:paraId="4457142B" w14:textId="77777777" w:rsidR="001C363B" w:rsidRPr="001C363B" w:rsidRDefault="001C363B" w:rsidP="001C363B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bCs/>
              </w:rPr>
            </w:pPr>
            <w:r w:rsidRPr="001C363B">
              <w:rPr>
                <w:rFonts w:ascii="Times New Roman" w:hAnsi="Times New Roman"/>
                <w:bCs/>
              </w:rPr>
              <w:t xml:space="preserve">A hagyományos narratív és drámai műfajokat követően az ezredfordulóval a szimuláció is alkalmassá vált a valóság leképzésére, melyben a számítógép központi szerepet játszik. A néző bevonásának lehetősége a szimulációba - más szóval az interaktivitás - az alkotót mind tökéletesebb konfigurációs megoldások alkalmazására ösztönzi. A befogadást segítő perspektivikus ábrázolás a játékipar technikai fejlődésével összhangban egyre érzékletesebb módon közvetíti a művész világképét, a tervező céljait. A különféle CAD (computer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aided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design) alkalmazások elsajátításának egyéni módjait elősegítő kurzus inspiratív példák során vezeti el a résztvevőt - többek között - a 3d modellezés spontán formája, a fotogrammetria területére. A tervezésbe integrálható eljárás lehetőségei a valóság ábrázolásán túlmenően lehetővé teszik a fényképekből készülő modellek és környező terek kombinálását, bővítését és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újraértelmezését</w:t>
            </w:r>
            <w:proofErr w:type="spellEnd"/>
            <w:r w:rsidRPr="001C363B">
              <w:rPr>
                <w:rFonts w:ascii="Times New Roman" w:hAnsi="Times New Roman"/>
                <w:bCs/>
              </w:rPr>
              <w:t>. A munka során elsajátított képességek a fotózás megtervezését, beállításait, összefűzését és a modellek bemutatását célozzák. A műtárgyak dokumentálására és virtuális terek létrehozására is alkalmas fotogrammetria a 3d tervezés megközelítésének egyik lehetséges módja, a környezet alkotó megismerésének eszköze.</w:t>
            </w:r>
          </w:p>
          <w:p w14:paraId="5BAD80D9" w14:textId="77777777" w:rsidR="001C363B" w:rsidRPr="001C363B" w:rsidRDefault="001C363B" w:rsidP="001C363B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bCs/>
              </w:rPr>
            </w:pPr>
          </w:p>
          <w:p w14:paraId="2A34ECC2" w14:textId="77777777" w:rsidR="001C363B" w:rsidRPr="001C363B" w:rsidRDefault="001C363B" w:rsidP="001C363B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1C363B">
              <w:rPr>
                <w:rFonts w:ascii="Times New Roman" w:hAnsi="Times New Roman"/>
                <w:bCs/>
              </w:rPr>
              <w:t>Studying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Multimedia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helps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the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participants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define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a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creative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approach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with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technology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and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media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of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their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own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, in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according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to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the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process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of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creating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an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artwork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. The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participants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have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already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refined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their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attitude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in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the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definition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and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application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of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computers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, video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or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virtualization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However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the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course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is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open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and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welcomes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those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less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structured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ideas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as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well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as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they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often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give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more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results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than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the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complex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ones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Realisation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of a project is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based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on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its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algorythm</w:t>
            </w:r>
            <w:proofErr w:type="spellEnd"/>
            <w:r w:rsidRPr="001C363B">
              <w:rPr>
                <w:rFonts w:ascii="Times New Roman" w:hAnsi="Times New Roman"/>
                <w:bCs/>
              </w:rPr>
              <w:t>.</w:t>
            </w:r>
          </w:p>
          <w:p w14:paraId="4B6BA5D8" w14:textId="77777777" w:rsidR="001C363B" w:rsidRPr="001C363B" w:rsidRDefault="001C363B" w:rsidP="001C363B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1C363B">
              <w:rPr>
                <w:rFonts w:ascii="Times New Roman" w:hAnsi="Times New Roman"/>
                <w:bCs/>
              </w:rPr>
              <w:t>Following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the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traditional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narrative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and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dramatic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interpretations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simulation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has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also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became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able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to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mediate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reality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by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computers. The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possibility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of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inviting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spectators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into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proofErr w:type="gramStart"/>
            <w:r w:rsidRPr="001C363B">
              <w:rPr>
                <w:rFonts w:ascii="Times New Roman" w:hAnsi="Times New Roman"/>
                <w:bCs/>
              </w:rPr>
              <w:t>this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interaction</w:t>
            </w:r>
            <w:proofErr w:type="spellEnd"/>
            <w:proofErr w:type="gram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urges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the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media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artist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to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find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adequate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configurational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solutions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for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the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better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communication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As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the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perspectivical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representation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of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the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human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world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helps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the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process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of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perceptional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reception, game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industry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developments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make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us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able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to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use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CGI,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interactivity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fotogrammetry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, game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peripheries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virtual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spaces</w:t>
            </w:r>
            <w:proofErr w:type="spellEnd"/>
            <w:r w:rsidRPr="001C363B">
              <w:rPr>
                <w:rFonts w:ascii="Times New Roman" w:hAnsi="Times New Roman"/>
                <w:bCs/>
              </w:rPr>
              <w:t>.</w:t>
            </w:r>
          </w:p>
        </w:tc>
      </w:tr>
      <w:tr w:rsidR="009924FD" w:rsidRPr="001C363B" w14:paraId="04B3767F" w14:textId="77777777" w:rsidTr="001C363B">
        <w:tblPrEx>
          <w:tblCellMar>
            <w:top w:w="0" w:type="dxa"/>
            <w:bottom w:w="0" w:type="dxa"/>
          </w:tblCellMar>
        </w:tblPrEx>
        <w:tc>
          <w:tcPr>
            <w:tcW w:w="9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ADB14" w14:textId="77777777" w:rsidR="00110CC5" w:rsidRPr="001C363B" w:rsidRDefault="009924FD" w:rsidP="001C36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r w:rsidRPr="001C363B">
              <w:rPr>
                <w:rFonts w:ascii="Times New Roman" w:hAnsi="Times New Roman"/>
              </w:rPr>
              <w:lastRenderedPageBreak/>
              <w:t xml:space="preserve">A </w:t>
            </w:r>
            <w:r w:rsidRPr="001C363B">
              <w:rPr>
                <w:rFonts w:ascii="Times New Roman" w:hAnsi="Times New Roman"/>
                <w:b/>
                <w:bCs/>
              </w:rPr>
              <w:t>2-5</w:t>
            </w:r>
            <w:r w:rsidRPr="001C363B">
              <w:rPr>
                <w:rFonts w:ascii="Times New Roman" w:hAnsi="Times New Roman"/>
              </w:rPr>
              <w:t xml:space="preserve"> legfontosabb </w:t>
            </w:r>
            <w:r w:rsidRPr="001C363B">
              <w:rPr>
                <w:rFonts w:ascii="Times New Roman" w:hAnsi="Times New Roman"/>
                <w:i/>
                <w:iCs/>
              </w:rPr>
              <w:t>kötelező,</w:t>
            </w:r>
            <w:r w:rsidRPr="001C363B">
              <w:rPr>
                <w:rFonts w:ascii="Times New Roman" w:hAnsi="Times New Roman"/>
              </w:rPr>
              <w:t xml:space="preserve"> illetve </w:t>
            </w:r>
            <w:r w:rsidRPr="001C363B">
              <w:rPr>
                <w:rFonts w:ascii="Times New Roman" w:hAnsi="Times New Roman"/>
                <w:i/>
                <w:iCs/>
              </w:rPr>
              <w:t>ajánlott</w:t>
            </w:r>
            <w:r w:rsidRPr="001C363B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1C363B">
              <w:rPr>
                <w:rFonts w:ascii="Times New Roman" w:hAnsi="Times New Roman"/>
                <w:b/>
                <w:bCs/>
              </w:rPr>
              <w:t xml:space="preserve">irodalom </w:t>
            </w:r>
            <w:r w:rsidRPr="001C363B">
              <w:rPr>
                <w:rFonts w:ascii="Times New Roman" w:hAnsi="Times New Roman"/>
              </w:rPr>
              <w:t>(jegyzet, tankönyv) felsorolása bibliográfiai adatokkal (szerző, cím, kiadás adatai, (esetleg oldalak), ISBN)</w:t>
            </w:r>
            <w:r w:rsidR="00110CC5" w:rsidRPr="001C363B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9924FD" w:rsidRPr="001C363B" w14:paraId="61AF1E37" w14:textId="77777777" w:rsidTr="001C363B">
        <w:tblPrEx>
          <w:tblCellMar>
            <w:top w:w="0" w:type="dxa"/>
            <w:bottom w:w="0" w:type="dxa"/>
          </w:tblCellMar>
        </w:tblPrEx>
        <w:tc>
          <w:tcPr>
            <w:tcW w:w="9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D58CB9" w14:textId="77777777" w:rsidR="001C363B" w:rsidRPr="001C363B" w:rsidRDefault="001C363B" w:rsidP="001C36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proofErr w:type="spellStart"/>
            <w:r w:rsidRPr="001C363B">
              <w:rPr>
                <w:rFonts w:ascii="Times New Roman" w:hAnsi="Times New Roman"/>
                <w:bCs/>
              </w:rPr>
              <w:t>Frasca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Gonzalo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: Play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the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Message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(Play, Game and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Videogame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)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Ph.D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Dissertation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IT University of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Copenhagen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Denmark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2007)</w:t>
            </w:r>
          </w:p>
          <w:p w14:paraId="628483F3" w14:textId="77777777" w:rsidR="001C363B" w:rsidRPr="001C363B" w:rsidRDefault="001C363B" w:rsidP="001C36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r w:rsidRPr="001C363B">
              <w:rPr>
                <w:rFonts w:ascii="Times New Roman" w:hAnsi="Times New Roman"/>
                <w:bCs/>
              </w:rPr>
              <w:t>Barabási Albert-László: Behálózva. Magyar Könyvklub, 2003.</w:t>
            </w:r>
          </w:p>
          <w:p w14:paraId="10C6ED1A" w14:textId="77777777" w:rsidR="001C363B" w:rsidRPr="001C363B" w:rsidRDefault="001C363B" w:rsidP="001C36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proofErr w:type="spellStart"/>
            <w:r w:rsidRPr="001C363B">
              <w:rPr>
                <w:rFonts w:ascii="Times New Roman" w:hAnsi="Times New Roman"/>
                <w:bCs/>
              </w:rPr>
              <w:t>Manovich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, Lev: Software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takes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the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command</w:t>
            </w:r>
            <w:proofErr w:type="spellEnd"/>
            <w:proofErr w:type="gramStart"/>
            <w:r w:rsidRPr="001C363B">
              <w:rPr>
                <w:rFonts w:ascii="Times New Roman" w:hAnsi="Times New Roman"/>
                <w:bCs/>
              </w:rPr>
              <w:t>, ,</w:t>
            </w:r>
            <w:proofErr w:type="gramEnd"/>
            <w:r w:rsidRPr="001C363B">
              <w:rPr>
                <w:rFonts w:ascii="Times New Roman" w:hAnsi="Times New Roman"/>
                <w:bCs/>
              </w:rPr>
              <w:t xml:space="preserve"> New York: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Bloomsbury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Academic</w:t>
            </w:r>
            <w:proofErr w:type="spellEnd"/>
            <w:r w:rsidRPr="001C363B">
              <w:rPr>
                <w:rFonts w:ascii="Times New Roman" w:hAnsi="Times New Roman"/>
                <w:bCs/>
              </w:rPr>
              <w:t>, 2013</w:t>
            </w:r>
          </w:p>
          <w:p w14:paraId="3A82C088" w14:textId="77777777" w:rsidR="001C363B" w:rsidRPr="001C363B" w:rsidRDefault="001C363B" w:rsidP="001C36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r w:rsidRPr="001C363B">
              <w:rPr>
                <w:rFonts w:ascii="Times New Roman" w:hAnsi="Times New Roman"/>
                <w:bCs/>
              </w:rPr>
              <w:t xml:space="preserve">Gibson, J. J.: The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Ecological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Approach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to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Visual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Perception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(1979) http://classes.matthewjbrown.net/teaching-files/ccc/gibson.pdf</w:t>
            </w:r>
          </w:p>
          <w:p w14:paraId="45210330" w14:textId="77777777" w:rsidR="001C363B" w:rsidRPr="001C363B" w:rsidRDefault="001C363B" w:rsidP="001C36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proofErr w:type="spellStart"/>
            <w:r w:rsidRPr="001C363B">
              <w:rPr>
                <w:rFonts w:ascii="Times New Roman" w:hAnsi="Times New Roman"/>
                <w:bCs/>
              </w:rPr>
              <w:t>Caillois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, Roger: Man, Play and Games. University of Illinois Press,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Urbana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and Chicago, 2002.</w:t>
            </w:r>
          </w:p>
          <w:p w14:paraId="1E8423DA" w14:textId="77777777" w:rsidR="001C363B" w:rsidRPr="001C363B" w:rsidRDefault="001C363B" w:rsidP="001C36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proofErr w:type="spellStart"/>
            <w:r w:rsidRPr="001C363B">
              <w:rPr>
                <w:rFonts w:ascii="Times New Roman" w:hAnsi="Times New Roman"/>
                <w:bCs/>
              </w:rPr>
              <w:t>Eskelinen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Markku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: The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Gaming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Situation</w:t>
            </w:r>
            <w:proofErr w:type="spellEnd"/>
            <w:r w:rsidRPr="001C363B">
              <w:rPr>
                <w:rFonts w:ascii="Times New Roman" w:hAnsi="Times New Roman"/>
                <w:bCs/>
              </w:rPr>
              <w:t>, 2001, http://www.gamestudies.org/0101/eskelinen/</w:t>
            </w:r>
          </w:p>
          <w:p w14:paraId="4E602CC0" w14:textId="77777777" w:rsidR="001C363B" w:rsidRPr="001C363B" w:rsidRDefault="001C363B" w:rsidP="001C36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proofErr w:type="spellStart"/>
            <w:r w:rsidRPr="001C363B">
              <w:rPr>
                <w:rFonts w:ascii="Times New Roman" w:hAnsi="Times New Roman"/>
                <w:bCs/>
              </w:rPr>
              <w:t>Genette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Gérard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Metalepszis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. Az alakzattól a fikcióig. </w:t>
            </w:r>
            <w:proofErr w:type="spellStart"/>
            <w:proofErr w:type="gramStart"/>
            <w:r w:rsidRPr="001C363B">
              <w:rPr>
                <w:rFonts w:ascii="Times New Roman" w:hAnsi="Times New Roman"/>
                <w:bCs/>
              </w:rPr>
              <w:t>Pozsony:Kalligram</w:t>
            </w:r>
            <w:proofErr w:type="spellEnd"/>
            <w:proofErr w:type="gramEnd"/>
            <w:r w:rsidRPr="001C363B">
              <w:rPr>
                <w:rFonts w:ascii="Times New Roman" w:hAnsi="Times New Roman"/>
                <w:bCs/>
              </w:rPr>
              <w:t>. 2006</w:t>
            </w:r>
          </w:p>
          <w:p w14:paraId="5AA19153" w14:textId="77777777" w:rsidR="001C363B" w:rsidRPr="001C363B" w:rsidRDefault="001C363B" w:rsidP="001C36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r w:rsidRPr="001C363B">
              <w:rPr>
                <w:rFonts w:ascii="Times New Roman" w:hAnsi="Times New Roman"/>
                <w:bCs/>
              </w:rPr>
              <w:t xml:space="preserve">Gibson, J. J.: The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Perception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of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the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Visual World (1950)</w:t>
            </w:r>
          </w:p>
          <w:p w14:paraId="0350F340" w14:textId="77777777" w:rsidR="001C363B" w:rsidRPr="001C363B" w:rsidRDefault="001C363B" w:rsidP="001C36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r w:rsidRPr="001C363B">
              <w:rPr>
                <w:rFonts w:ascii="Times New Roman" w:hAnsi="Times New Roman"/>
                <w:bCs/>
              </w:rPr>
              <w:t xml:space="preserve">Jay David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Bolter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and Richard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Grusin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Remediation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Understanding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New Media, Cambridge, MA: The MIT Press, 1999.</w:t>
            </w:r>
          </w:p>
          <w:p w14:paraId="53908669" w14:textId="77777777" w:rsidR="001C363B" w:rsidRPr="001C363B" w:rsidRDefault="001C363B" w:rsidP="001C36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r w:rsidRPr="001C363B">
              <w:rPr>
                <w:rFonts w:ascii="Times New Roman" w:hAnsi="Times New Roman"/>
                <w:bCs/>
              </w:rPr>
              <w:t>Kolta Magdolna: Képmutogatók. A fotográfiai látás kultúrtörténete, Magyar Fotográfiai Múzeum, Kecskemét, 2003.</w:t>
            </w:r>
          </w:p>
          <w:p w14:paraId="6A8151C5" w14:textId="77777777" w:rsidR="001C363B" w:rsidRPr="001C363B" w:rsidRDefault="001C363B" w:rsidP="001C36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proofErr w:type="spellStart"/>
            <w:r w:rsidRPr="001C363B">
              <w:rPr>
                <w:rFonts w:ascii="Times New Roman" w:hAnsi="Times New Roman"/>
                <w:bCs/>
              </w:rPr>
              <w:t>Manovich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, Lev: The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Language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of New Media. MIT Press, Cambridge,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Mass</w:t>
            </w:r>
            <w:proofErr w:type="spellEnd"/>
            <w:r w:rsidRPr="001C363B">
              <w:rPr>
                <w:rFonts w:ascii="Times New Roman" w:hAnsi="Times New Roman"/>
                <w:bCs/>
              </w:rPr>
              <w:t>. 2001.</w:t>
            </w:r>
          </w:p>
          <w:p w14:paraId="7E2AEB6C" w14:textId="77777777" w:rsidR="001C363B" w:rsidRPr="001C363B" w:rsidRDefault="001C363B" w:rsidP="001C36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proofErr w:type="spellStart"/>
            <w:r w:rsidRPr="001C363B">
              <w:rPr>
                <w:rFonts w:ascii="Times New Roman" w:hAnsi="Times New Roman"/>
                <w:bCs/>
              </w:rPr>
              <w:t>McLuhan</w:t>
            </w:r>
            <w:proofErr w:type="spellEnd"/>
            <w:r w:rsidRPr="001C363B">
              <w:rPr>
                <w:rFonts w:ascii="Times New Roman" w:hAnsi="Times New Roman"/>
                <w:bCs/>
              </w:rPr>
              <w:t>, Marshall: A Gutenberg galaxis, Trezor Kiadó, 2001.</w:t>
            </w:r>
          </w:p>
          <w:p w14:paraId="4F968DE9" w14:textId="77777777" w:rsidR="001C363B" w:rsidRPr="001C363B" w:rsidRDefault="001C363B" w:rsidP="001C36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proofErr w:type="spellStart"/>
            <w:r w:rsidRPr="001C363B">
              <w:rPr>
                <w:rFonts w:ascii="Times New Roman" w:hAnsi="Times New Roman"/>
                <w:bCs/>
              </w:rPr>
              <w:t>McLuhan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, Marshall: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Understanding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Media: The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Extensions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of Man. MIT Press, </w:t>
            </w:r>
            <w:proofErr w:type="spellStart"/>
            <w:proofErr w:type="gramStart"/>
            <w:r w:rsidRPr="001C363B">
              <w:rPr>
                <w:rFonts w:ascii="Times New Roman" w:hAnsi="Times New Roman"/>
                <w:bCs/>
              </w:rPr>
              <w:t>Cambridge,Mass</w:t>
            </w:r>
            <w:proofErr w:type="spellEnd"/>
            <w:proofErr w:type="gramEnd"/>
            <w:r w:rsidRPr="001C363B">
              <w:rPr>
                <w:rFonts w:ascii="Times New Roman" w:hAnsi="Times New Roman"/>
                <w:bCs/>
              </w:rPr>
              <w:t>. 1994.</w:t>
            </w:r>
          </w:p>
          <w:p w14:paraId="5DCF1143" w14:textId="77777777" w:rsidR="001C363B" w:rsidRPr="001C363B" w:rsidRDefault="001C363B" w:rsidP="001C36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proofErr w:type="spellStart"/>
            <w:r w:rsidRPr="001C363B">
              <w:rPr>
                <w:rFonts w:ascii="Times New Roman" w:hAnsi="Times New Roman"/>
                <w:bCs/>
              </w:rPr>
              <w:t>Mieke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Bal: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Fokalizáció</w:t>
            </w:r>
            <w:proofErr w:type="spellEnd"/>
            <w:r w:rsidRPr="001C363B">
              <w:rPr>
                <w:rFonts w:ascii="Times New Roman" w:hAnsi="Times New Roman"/>
                <w:bCs/>
              </w:rPr>
              <w:t>. (1999) In Vizuális és verbális narráció.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C363B">
              <w:rPr>
                <w:rFonts w:ascii="Times New Roman" w:hAnsi="Times New Roman"/>
                <w:bCs/>
              </w:rPr>
              <w:t>Szöveggyűjtemény. http://gepeskonyv.btk.elte.hu</w:t>
            </w:r>
          </w:p>
          <w:p w14:paraId="6BD62D93" w14:textId="77777777" w:rsidR="001C363B" w:rsidRPr="001C363B" w:rsidRDefault="001C363B" w:rsidP="001C36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proofErr w:type="spellStart"/>
            <w:r w:rsidRPr="001C363B">
              <w:rPr>
                <w:rFonts w:ascii="Times New Roman" w:hAnsi="Times New Roman"/>
                <w:bCs/>
              </w:rPr>
              <w:t>Mieke</w:t>
            </w:r>
            <w:proofErr w:type="spellEnd"/>
            <w:r w:rsidRPr="001C363B">
              <w:rPr>
                <w:rFonts w:ascii="Times New Roman" w:hAnsi="Times New Roman"/>
                <w:bCs/>
              </w:rPr>
              <w:t>, Bal: Látvány és narratíva egyensúlya, Budapest, Kijárat kiadó, 1998.</w:t>
            </w:r>
          </w:p>
          <w:p w14:paraId="129F525F" w14:textId="77777777" w:rsidR="001C363B" w:rsidRPr="001C363B" w:rsidRDefault="001C363B" w:rsidP="001C36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  <w:r w:rsidRPr="001C363B">
              <w:rPr>
                <w:rFonts w:ascii="Times New Roman" w:hAnsi="Times New Roman"/>
                <w:bCs/>
              </w:rPr>
              <w:t>Mitchell, W. J. T.: Mi a kép? Budapest, Kijárat kiadó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C363B">
              <w:rPr>
                <w:rFonts w:ascii="Times New Roman" w:hAnsi="Times New Roman"/>
                <w:bCs/>
              </w:rPr>
              <w:t>(1997/1984)</w:t>
            </w:r>
          </w:p>
          <w:p w14:paraId="0527C4A2" w14:textId="77777777" w:rsidR="009924FD" w:rsidRPr="001C363B" w:rsidRDefault="001C363B" w:rsidP="001C36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C363B">
              <w:rPr>
                <w:rFonts w:ascii="Times New Roman" w:hAnsi="Times New Roman"/>
                <w:bCs/>
              </w:rPr>
              <w:t xml:space="preserve">Mitchell, W. J. T.: The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Pictorial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Turn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, fordította: </w:t>
            </w:r>
            <w:proofErr w:type="spellStart"/>
            <w:r w:rsidRPr="001C363B">
              <w:rPr>
                <w:rFonts w:ascii="Times New Roman" w:hAnsi="Times New Roman"/>
                <w:bCs/>
              </w:rPr>
              <w:t>Hornyik</w:t>
            </w:r>
            <w:proofErr w:type="spellEnd"/>
            <w:r w:rsidRPr="001C363B">
              <w:rPr>
                <w:rFonts w:ascii="Times New Roman" w:hAnsi="Times New Roman"/>
                <w:bCs/>
              </w:rPr>
              <w:t xml:space="preserve"> Sándor. </w:t>
            </w:r>
            <w:hyperlink r:id="rId6" w:history="1">
              <w:r w:rsidRPr="001C363B">
                <w:rPr>
                  <w:rStyle w:val="Hiperhivatkozs"/>
                  <w:rFonts w:ascii="Times New Roman" w:hAnsi="Times New Roman"/>
                  <w:bCs/>
                </w:rPr>
                <w:t>http://www.balkon.hu/archiv/2007/2007_11_12/01fordulat.html</w:t>
              </w:r>
            </w:hyperlink>
          </w:p>
        </w:tc>
      </w:tr>
      <w:tr w:rsidR="009924FD" w:rsidRPr="001C363B" w14:paraId="751D0255" w14:textId="77777777">
        <w:tblPrEx>
          <w:tblCellMar>
            <w:top w:w="0" w:type="dxa"/>
            <w:bottom w:w="0" w:type="dxa"/>
          </w:tblCellMar>
        </w:tblPrEx>
        <w:tc>
          <w:tcPr>
            <w:tcW w:w="9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719FF" w14:textId="77777777" w:rsidR="009924FD" w:rsidRPr="001C363B" w:rsidRDefault="009924F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363B">
              <w:rPr>
                <w:rFonts w:ascii="Times New Roman" w:hAnsi="Times New Roman"/>
              </w:rPr>
              <w:t xml:space="preserve">Azoknak az </w:t>
            </w:r>
            <w:r w:rsidRPr="001C363B">
              <w:rPr>
                <w:rFonts w:ascii="Times New Roman" w:hAnsi="Times New Roman"/>
                <w:b/>
                <w:bCs/>
              </w:rPr>
              <w:t>előírt</w:t>
            </w:r>
            <w:r w:rsidRPr="001C363B">
              <w:rPr>
                <w:rFonts w:ascii="Times New Roman" w:hAnsi="Times New Roman"/>
              </w:rPr>
              <w:t xml:space="preserve"> s</w:t>
            </w:r>
            <w:r w:rsidRPr="001C363B">
              <w:rPr>
                <w:rFonts w:ascii="Times New Roman" w:hAnsi="Times New Roman"/>
                <w:b/>
                <w:bCs/>
              </w:rPr>
              <w:t>zakmai kompetenciáknak, kompetencia-elemeknek</w:t>
            </w:r>
            <w:r w:rsidRPr="001C363B">
              <w:rPr>
                <w:rFonts w:ascii="Times New Roman" w:hAnsi="Times New Roman"/>
              </w:rPr>
              <w:t xml:space="preserve"> a felsorolása, </w:t>
            </w:r>
            <w:r w:rsidRPr="001C363B">
              <w:rPr>
                <w:rFonts w:ascii="Times New Roman" w:hAnsi="Times New Roman"/>
                <w:b/>
                <w:bCs/>
              </w:rPr>
              <w:t>amelyek kialakításához a tantárgy jellemzően, érdemben hozzájárul</w:t>
            </w:r>
          </w:p>
        </w:tc>
      </w:tr>
      <w:tr w:rsidR="009924FD" w:rsidRPr="001C363B" w14:paraId="17D7625E" w14:textId="77777777" w:rsidTr="00E85CA5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9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EF67A5" w14:textId="77777777" w:rsidR="009924FD" w:rsidRPr="001C363B" w:rsidRDefault="009924FD">
            <w:pPr>
              <w:widowControl w:val="0"/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hAnsi="Times New Roman"/>
                <w:b/>
                <w:bCs/>
              </w:rPr>
            </w:pPr>
            <w:r w:rsidRPr="001C363B">
              <w:rPr>
                <w:rFonts w:ascii="Times New Roman" w:hAnsi="Times New Roman"/>
                <w:b/>
                <w:bCs/>
              </w:rPr>
              <w:t>a)</w:t>
            </w:r>
            <w:r w:rsidRPr="001C363B">
              <w:rPr>
                <w:rFonts w:ascii="Times New Roman" w:hAnsi="Times New Roman"/>
                <w:b/>
                <w:bCs/>
              </w:rPr>
              <w:tab/>
              <w:t>tudása</w:t>
            </w:r>
          </w:p>
          <w:p w14:paraId="1F680D05" w14:textId="77777777" w:rsidR="009924FD" w:rsidRPr="001C363B" w:rsidRDefault="009924FD">
            <w:pPr>
              <w:widowControl w:val="0"/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1C363B">
              <w:rPr>
                <w:rFonts w:ascii="Times New Roman" w:hAnsi="Times New Roman"/>
              </w:rPr>
              <w:t>-alapfokú program- és tartalomfejlesztés</w:t>
            </w:r>
          </w:p>
          <w:p w14:paraId="75C837D4" w14:textId="77777777" w:rsidR="000F4D97" w:rsidRPr="001C363B" w:rsidRDefault="000F4D97">
            <w:pPr>
              <w:widowControl w:val="0"/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1C363B">
              <w:rPr>
                <w:rFonts w:ascii="Times New Roman" w:hAnsi="Times New Roman"/>
              </w:rPr>
              <w:t>Specializált gyakorlati ismeretekkel rendelkezik a technikai médiumok használatáról. Szerteágazó ismeretekkel rendelkezik az új technikai médiumokkal elérhető művészi kifejezés különböző technikáiról, eszközeiről, módszereiről és funkcióiról.</w:t>
            </w:r>
          </w:p>
          <w:p w14:paraId="1D12B701" w14:textId="77777777" w:rsidR="009924FD" w:rsidRPr="001C363B" w:rsidRDefault="009924FD">
            <w:pPr>
              <w:widowControl w:val="0"/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1C363B">
              <w:rPr>
                <w:rFonts w:ascii="Times New Roman" w:hAnsi="Times New Roman"/>
              </w:rPr>
              <w:t>-vizuális látvá</w:t>
            </w:r>
            <w:r w:rsidR="000F4D97" w:rsidRPr="001C363B">
              <w:rPr>
                <w:rFonts w:ascii="Times New Roman" w:hAnsi="Times New Roman"/>
              </w:rPr>
              <w:t>nyalkotás</w:t>
            </w:r>
          </w:p>
          <w:p w14:paraId="720365EC" w14:textId="77777777" w:rsidR="000F4D97" w:rsidRPr="001C363B" w:rsidRDefault="000F4D97">
            <w:pPr>
              <w:widowControl w:val="0"/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1C363B">
              <w:rPr>
                <w:rFonts w:ascii="Times New Roman" w:hAnsi="Times New Roman"/>
              </w:rPr>
              <w:t>Behatóan ismeri a technikai médiumok alkalmazásának gyakorlatát, az analóg fotóeljárásoktól a legkorszerűbb digitális képalkotó technikákig, azok elterjedésének társadalmi-gazdasági hatásait egyaránt képes történeti és alkotói kontextusban is értelmezni.</w:t>
            </w:r>
          </w:p>
          <w:p w14:paraId="0769F04B" w14:textId="77777777" w:rsidR="009924FD" w:rsidRPr="001C363B" w:rsidRDefault="009924FD">
            <w:pPr>
              <w:widowControl w:val="0"/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hAnsi="Times New Roman"/>
                <w:b/>
                <w:bCs/>
              </w:rPr>
            </w:pPr>
            <w:r w:rsidRPr="001C363B">
              <w:rPr>
                <w:rFonts w:ascii="Times New Roman" w:hAnsi="Times New Roman"/>
                <w:b/>
                <w:bCs/>
              </w:rPr>
              <w:t>b)</w:t>
            </w:r>
            <w:r w:rsidRPr="001C363B">
              <w:rPr>
                <w:rFonts w:ascii="Times New Roman" w:hAnsi="Times New Roman"/>
                <w:b/>
                <w:bCs/>
              </w:rPr>
              <w:tab/>
              <w:t>képességei</w:t>
            </w:r>
          </w:p>
          <w:p w14:paraId="063433E8" w14:textId="77777777" w:rsidR="009924FD" w:rsidRPr="001C363B" w:rsidRDefault="009924FD">
            <w:pPr>
              <w:widowControl w:val="0"/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1C363B">
              <w:rPr>
                <w:rFonts w:ascii="Times New Roman" w:hAnsi="Times New Roman"/>
              </w:rPr>
              <w:t>-technológiai jártasság</w:t>
            </w:r>
          </w:p>
          <w:p w14:paraId="1BB809C6" w14:textId="77777777" w:rsidR="000F4D97" w:rsidRPr="001C363B" w:rsidRDefault="000F4D97">
            <w:pPr>
              <w:widowControl w:val="0"/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1C363B">
              <w:rPr>
                <w:rFonts w:ascii="Times New Roman" w:hAnsi="Times New Roman"/>
              </w:rPr>
              <w:t>Rendelkezik mindazzal a technikai tudással, amely lehetővé teszi, hogy önálló művészi elképzeléseit egyéni módon és szakmai biztonsággal, az ismert képzőművészeti kifejezésmódok mellett technikai kísérleteket, új eljárásokat, új szemléletet bevezetve valósítsa meg.</w:t>
            </w:r>
          </w:p>
          <w:p w14:paraId="7E5BB722" w14:textId="77777777" w:rsidR="009924FD" w:rsidRPr="001C363B" w:rsidRDefault="009924F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1C363B">
              <w:rPr>
                <w:rFonts w:ascii="Times New Roman" w:hAnsi="Times New Roman"/>
              </w:rPr>
              <w:t>-környezet ismeret</w:t>
            </w:r>
          </w:p>
          <w:p w14:paraId="1F8D9B20" w14:textId="77777777" w:rsidR="000F4D97" w:rsidRPr="001C363B" w:rsidRDefault="000F4D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1C363B">
              <w:rPr>
                <w:rFonts w:ascii="Times New Roman" w:hAnsi="Times New Roman"/>
              </w:rPr>
              <w:t xml:space="preserve">Képes művészeti tevékenységét környezet- és egészségtudatos megszervezésére, végzésére, alkotásaik révén a társadalom szellemi, lelki, fizikai egészségének fejlesztésére. Képes az új művészeti módszerek és technikák (fotó-kinetikus és elektronikus művészetek, </w:t>
            </w:r>
            <w:proofErr w:type="spellStart"/>
            <w:r w:rsidRPr="001C363B">
              <w:rPr>
                <w:rFonts w:ascii="Times New Roman" w:hAnsi="Times New Roman"/>
              </w:rPr>
              <w:t>intermedia</w:t>
            </w:r>
            <w:proofErr w:type="spellEnd"/>
            <w:r w:rsidRPr="001C363B">
              <w:rPr>
                <w:rFonts w:ascii="Times New Roman" w:hAnsi="Times New Roman"/>
              </w:rPr>
              <w:t xml:space="preserve">, installációs-, </w:t>
            </w:r>
            <w:proofErr w:type="spellStart"/>
            <w:r w:rsidRPr="001C363B">
              <w:rPr>
                <w:rFonts w:ascii="Times New Roman" w:hAnsi="Times New Roman"/>
              </w:rPr>
              <w:t>environment</w:t>
            </w:r>
            <w:proofErr w:type="spellEnd"/>
            <w:r w:rsidRPr="001C363B">
              <w:rPr>
                <w:rFonts w:ascii="Times New Roman" w:hAnsi="Times New Roman"/>
              </w:rPr>
              <w:t xml:space="preserve"> és akcióművészet, új kommunikációs technikák, interaktivitás, képzőművészeti határterületek) gyakorlati alkalmazására, egyedi technikai megoldásokat igénylő művek (installációk, komplex hálózati-</w:t>
            </w:r>
            <w:r w:rsidR="001C363B">
              <w:rPr>
                <w:rFonts w:ascii="Times New Roman" w:hAnsi="Times New Roman"/>
              </w:rPr>
              <w:t>,</w:t>
            </w:r>
            <w:r w:rsidRPr="001C363B">
              <w:rPr>
                <w:rFonts w:ascii="Times New Roman" w:hAnsi="Times New Roman"/>
              </w:rPr>
              <w:t xml:space="preserve"> illetve multimédia alkalmazások) megvalósítására, a folyamatosan változó, illetve keletkező új(</w:t>
            </w:r>
            <w:proofErr w:type="spellStart"/>
            <w:r w:rsidRPr="001C363B">
              <w:rPr>
                <w:rFonts w:ascii="Times New Roman" w:hAnsi="Times New Roman"/>
              </w:rPr>
              <w:t>abb</w:t>
            </w:r>
            <w:proofErr w:type="spellEnd"/>
            <w:r w:rsidRPr="001C363B">
              <w:rPr>
                <w:rFonts w:ascii="Times New Roman" w:hAnsi="Times New Roman"/>
              </w:rPr>
              <w:t>) médiumok autonóm megismerésére, használatára.</w:t>
            </w:r>
          </w:p>
          <w:p w14:paraId="1684D333" w14:textId="77777777" w:rsidR="009924FD" w:rsidRPr="001C363B" w:rsidRDefault="009924F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C363B">
              <w:rPr>
                <w:rFonts w:ascii="Times New Roman" w:hAnsi="Times New Roman"/>
                <w:b/>
                <w:bCs/>
              </w:rPr>
              <w:t>c) attitűd</w:t>
            </w:r>
          </w:p>
          <w:p w14:paraId="00A70454" w14:textId="77777777" w:rsidR="009924FD" w:rsidRPr="001C363B" w:rsidRDefault="009924F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363B">
              <w:rPr>
                <w:rFonts w:ascii="Times New Roman" w:hAnsi="Times New Roman"/>
                <w:b/>
                <w:bCs/>
              </w:rPr>
              <w:lastRenderedPageBreak/>
              <w:t>-</w:t>
            </w:r>
            <w:r w:rsidRPr="001C363B">
              <w:rPr>
                <w:rFonts w:ascii="Times New Roman" w:hAnsi="Times New Roman"/>
              </w:rPr>
              <w:t>modernizációs</w:t>
            </w:r>
            <w:r w:rsidRPr="001C363B">
              <w:rPr>
                <w:rFonts w:ascii="Times New Roman" w:hAnsi="Times New Roman"/>
                <w:b/>
                <w:bCs/>
              </w:rPr>
              <w:t xml:space="preserve"> </w:t>
            </w:r>
            <w:r w:rsidRPr="001C363B">
              <w:rPr>
                <w:rFonts w:ascii="Times New Roman" w:hAnsi="Times New Roman"/>
              </w:rPr>
              <w:t xml:space="preserve">elkötelezettség, </w:t>
            </w:r>
          </w:p>
          <w:p w14:paraId="225DB1DB" w14:textId="77777777" w:rsidR="000F4D97" w:rsidRPr="001C363B" w:rsidRDefault="000F4D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363B">
              <w:rPr>
                <w:rFonts w:ascii="Times New Roman" w:hAnsi="Times New Roman"/>
              </w:rPr>
              <w:t>Törekszik arra, hogy egyéni és eredeti módon vegyen részt művészeti produkciók, önálló alkotások létrehozásában. Törekszik arra, hogy művészi attitűdje szellemileg mindig nyitott, önreflektív, kísérletező jellegű legyen.</w:t>
            </w:r>
          </w:p>
          <w:p w14:paraId="7F7CDFE5" w14:textId="77777777" w:rsidR="009924FD" w:rsidRPr="001C363B" w:rsidRDefault="009924F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363B">
              <w:rPr>
                <w:rFonts w:ascii="Times New Roman" w:hAnsi="Times New Roman"/>
              </w:rPr>
              <w:t>-</w:t>
            </w:r>
            <w:proofErr w:type="spellStart"/>
            <w:r w:rsidRPr="001C363B">
              <w:rPr>
                <w:rFonts w:ascii="Times New Roman" w:hAnsi="Times New Roman"/>
              </w:rPr>
              <w:t>performatívitás</w:t>
            </w:r>
            <w:proofErr w:type="spellEnd"/>
          </w:p>
          <w:p w14:paraId="74A64884" w14:textId="77777777" w:rsidR="000F4D97" w:rsidRPr="001C363B" w:rsidRDefault="000F4D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363B">
              <w:rPr>
                <w:rFonts w:ascii="Times New Roman" w:hAnsi="Times New Roman"/>
              </w:rPr>
              <w:t>Nem a jól bevált, biztonságos megoldásokat keresi, nyitott a mindenkori újdonságra, a kockázatos, kísérletező művészeti gyakorlatokra. Folyamatosan kutatja a művészeti gondolkodásmódjához illő új megoldásokat. Elkötelezett a művészeti alkotás szabadsága és öntörvényűsége mellett. Művészeti gyakorlatában a folyamatos tanulást, kísérletezést részesíti előnyben.</w:t>
            </w:r>
          </w:p>
          <w:p w14:paraId="2A38DCFA" w14:textId="77777777" w:rsidR="009924FD" w:rsidRPr="001C363B" w:rsidRDefault="009924F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C363B">
              <w:rPr>
                <w:rFonts w:ascii="Times New Roman" w:hAnsi="Times New Roman"/>
                <w:b/>
                <w:bCs/>
              </w:rPr>
              <w:t>d) autonómia, felelősség</w:t>
            </w:r>
          </w:p>
          <w:p w14:paraId="62822162" w14:textId="77777777" w:rsidR="009924FD" w:rsidRPr="001C363B" w:rsidRDefault="009924F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363B">
              <w:rPr>
                <w:rFonts w:ascii="Times New Roman" w:hAnsi="Times New Roman"/>
              </w:rPr>
              <w:t>-</w:t>
            </w:r>
            <w:proofErr w:type="spellStart"/>
            <w:r w:rsidRPr="001C363B">
              <w:rPr>
                <w:rFonts w:ascii="Times New Roman" w:hAnsi="Times New Roman"/>
              </w:rPr>
              <w:t>interdiszciplinaritás</w:t>
            </w:r>
            <w:proofErr w:type="spellEnd"/>
            <w:r w:rsidRPr="001C363B">
              <w:rPr>
                <w:rFonts w:ascii="Times New Roman" w:hAnsi="Times New Roman"/>
              </w:rPr>
              <w:t xml:space="preserve">, </w:t>
            </w:r>
            <w:proofErr w:type="spellStart"/>
            <w:r w:rsidRPr="001C363B">
              <w:rPr>
                <w:rFonts w:ascii="Times New Roman" w:hAnsi="Times New Roman"/>
              </w:rPr>
              <w:t>transzdiszciplinaritás</w:t>
            </w:r>
            <w:proofErr w:type="spellEnd"/>
          </w:p>
          <w:p w14:paraId="3547A024" w14:textId="77777777" w:rsidR="000F4D97" w:rsidRPr="001C363B" w:rsidRDefault="000F4D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363B">
              <w:rPr>
                <w:rFonts w:ascii="Times New Roman" w:hAnsi="Times New Roman"/>
              </w:rPr>
              <w:t xml:space="preserve">Összművészeti, illetve multidiszciplináris alkotómunkában is autonóm módon, felelősen tevékenykedik. Képes a képzőművészet kortárs áramlatait átlátni, értelmezni, és ebben a kontextusban érvényes állításokat megfogalmazni műveiben. Érzékeny a társadalmi, szociális kérdésekre, és a puszta aktualitáson túllépve érvényes, történeti kontextusban képes értelmezni a jelen folyamatait, és kritikus művészeti </w:t>
            </w:r>
            <w:proofErr w:type="spellStart"/>
            <w:r w:rsidRPr="001C363B">
              <w:rPr>
                <w:rFonts w:ascii="Times New Roman" w:hAnsi="Times New Roman"/>
              </w:rPr>
              <w:t>reflekciót</w:t>
            </w:r>
            <w:proofErr w:type="spellEnd"/>
            <w:r w:rsidRPr="001C363B">
              <w:rPr>
                <w:rFonts w:ascii="Times New Roman" w:hAnsi="Times New Roman"/>
              </w:rPr>
              <w:t xml:space="preserve"> felmutatni ezekkel kapcsolatban.</w:t>
            </w:r>
          </w:p>
        </w:tc>
      </w:tr>
      <w:tr w:rsidR="009924FD" w:rsidRPr="001C363B" w14:paraId="47FD995B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9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6918" w14:textId="77777777" w:rsidR="009924FD" w:rsidRPr="001C363B" w:rsidRDefault="009924FD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C363B">
              <w:rPr>
                <w:rFonts w:ascii="Times New Roman" w:hAnsi="Times New Roman"/>
                <w:b/>
                <w:bCs/>
              </w:rPr>
              <w:lastRenderedPageBreak/>
              <w:t xml:space="preserve">Tantárgy felelőse: Dr. Langh E. Róbert </w:t>
            </w:r>
            <w:r w:rsidRPr="001C363B">
              <w:rPr>
                <w:rFonts w:ascii="Times New Roman" w:hAnsi="Times New Roman"/>
              </w:rPr>
              <w:t>DLA</w:t>
            </w:r>
          </w:p>
        </w:tc>
      </w:tr>
      <w:tr w:rsidR="009924FD" w:rsidRPr="001C363B" w14:paraId="4A200C87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1784" w14:textId="77777777" w:rsidR="009924FD" w:rsidRPr="001C363B" w:rsidRDefault="009924FD" w:rsidP="001C363B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C363B">
              <w:rPr>
                <w:rFonts w:ascii="Times New Roman" w:hAnsi="Times New Roman"/>
                <w:b/>
                <w:bCs/>
              </w:rPr>
              <w:t>Tantárgy oktatásába bevont oktató(k):</w:t>
            </w:r>
            <w:r w:rsidR="001C363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110CC5" w:rsidRPr="001C363B">
              <w:rPr>
                <w:rFonts w:ascii="Times New Roman" w:hAnsi="Times New Roman"/>
                <w:b/>
                <w:bCs/>
              </w:rPr>
              <w:t>Fernezelyi</w:t>
            </w:r>
            <w:proofErr w:type="spellEnd"/>
            <w:r w:rsidR="00110CC5" w:rsidRPr="001C363B">
              <w:rPr>
                <w:rFonts w:ascii="Times New Roman" w:hAnsi="Times New Roman"/>
                <w:b/>
                <w:bCs/>
              </w:rPr>
              <w:t xml:space="preserve"> Márton</w:t>
            </w:r>
          </w:p>
        </w:tc>
      </w:tr>
      <w:tr w:rsidR="009924FD" w:rsidRPr="001C363B" w14:paraId="2ECBC44D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D6E42" w14:textId="77777777" w:rsidR="009924FD" w:rsidRPr="001C363B" w:rsidRDefault="009924FD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C363B">
              <w:rPr>
                <w:rFonts w:ascii="Times New Roman" w:hAnsi="Times New Roman"/>
                <w:b/>
                <w:bCs/>
              </w:rPr>
              <w:t xml:space="preserve">A tantárgy rövidített címe: </w:t>
            </w:r>
            <w:proofErr w:type="spellStart"/>
            <w:r w:rsidRPr="001C363B">
              <w:rPr>
                <w:rFonts w:ascii="Times New Roman" w:hAnsi="Times New Roman"/>
                <w:b/>
                <w:bCs/>
              </w:rPr>
              <w:t>Multimedia</w:t>
            </w:r>
            <w:proofErr w:type="spellEnd"/>
            <w:r w:rsidRPr="001C363B">
              <w:rPr>
                <w:rFonts w:ascii="Times New Roman" w:hAnsi="Times New Roman"/>
                <w:b/>
                <w:bCs/>
              </w:rPr>
              <w:t xml:space="preserve"> fejlesztési ismeretek</w:t>
            </w:r>
          </w:p>
        </w:tc>
      </w:tr>
      <w:tr w:rsidR="009924FD" w:rsidRPr="001C363B" w14:paraId="79F808EA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68E25" w14:textId="77777777" w:rsidR="009924FD" w:rsidRPr="001C363B" w:rsidRDefault="009924FD" w:rsidP="00DE6501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C363B">
              <w:rPr>
                <w:rFonts w:ascii="Times New Roman" w:hAnsi="Times New Roman"/>
                <w:b/>
                <w:bCs/>
              </w:rPr>
              <w:t>Tantárgykódja:</w:t>
            </w:r>
            <w:r w:rsidR="00E85CA5" w:rsidRPr="001C363B">
              <w:rPr>
                <w:rFonts w:ascii="Times New Roman" w:hAnsi="Times New Roman"/>
              </w:rPr>
              <w:t xml:space="preserve"> </w:t>
            </w:r>
            <w:r w:rsidR="00E85CA5" w:rsidRPr="001C363B">
              <w:rPr>
                <w:rFonts w:ascii="Times New Roman" w:hAnsi="Times New Roman"/>
                <w:b/>
                <w:bCs/>
              </w:rPr>
              <w:t>INM-MUMÉ</w:t>
            </w:r>
          </w:p>
        </w:tc>
      </w:tr>
      <w:tr w:rsidR="009924FD" w:rsidRPr="001C363B" w14:paraId="76D44881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AF34B" w14:textId="77777777" w:rsidR="009924FD" w:rsidRPr="001C363B" w:rsidRDefault="009924FD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1C363B">
              <w:rPr>
                <w:rFonts w:ascii="Times New Roman" w:hAnsi="Times New Roman"/>
                <w:b/>
                <w:bCs/>
              </w:rPr>
              <w:t xml:space="preserve">Felelős tanszéke: </w:t>
            </w:r>
            <w:proofErr w:type="spellStart"/>
            <w:r w:rsidRPr="001C363B">
              <w:rPr>
                <w:rFonts w:ascii="Times New Roman" w:hAnsi="Times New Roman"/>
              </w:rPr>
              <w:t>Int</w:t>
            </w:r>
            <w:r w:rsidR="00DE6501" w:rsidRPr="001C363B">
              <w:rPr>
                <w:rFonts w:ascii="Times New Roman" w:hAnsi="Times New Roman"/>
              </w:rPr>
              <w:t>e</w:t>
            </w:r>
            <w:r w:rsidRPr="001C363B">
              <w:rPr>
                <w:rFonts w:ascii="Times New Roman" w:hAnsi="Times New Roman"/>
              </w:rPr>
              <w:t>rmédia</w:t>
            </w:r>
            <w:proofErr w:type="spellEnd"/>
            <w:r w:rsidRPr="001C363B">
              <w:rPr>
                <w:rFonts w:ascii="Times New Roman" w:hAnsi="Times New Roman"/>
              </w:rPr>
              <w:t xml:space="preserve"> Tanszék</w:t>
            </w:r>
          </w:p>
        </w:tc>
      </w:tr>
      <w:tr w:rsidR="009924FD" w:rsidRPr="001C363B" w14:paraId="7D3B89C8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68E9" w14:textId="77777777" w:rsidR="009924FD" w:rsidRPr="001C363B" w:rsidRDefault="009924FD" w:rsidP="00DE6501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1C363B">
              <w:rPr>
                <w:rFonts w:ascii="Times New Roman" w:hAnsi="Times New Roman"/>
                <w:b/>
                <w:bCs/>
              </w:rPr>
              <w:t xml:space="preserve">Képzési idő szemeszterekben: </w:t>
            </w:r>
            <w:r w:rsidRPr="001C363B">
              <w:rPr>
                <w:rFonts w:ascii="Times New Roman" w:hAnsi="Times New Roman"/>
              </w:rPr>
              <w:t>2</w:t>
            </w:r>
            <w:r w:rsidRPr="001C363B">
              <w:rPr>
                <w:rFonts w:ascii="Times New Roman" w:hAnsi="Times New Roman"/>
                <w:color w:val="FF0000"/>
              </w:rPr>
              <w:t xml:space="preserve"> </w:t>
            </w:r>
            <w:r w:rsidRPr="001C363B">
              <w:rPr>
                <w:rFonts w:ascii="Times New Roman" w:hAnsi="Times New Roman"/>
              </w:rPr>
              <w:t>szemeszter</w:t>
            </w:r>
          </w:p>
        </w:tc>
      </w:tr>
      <w:tr w:rsidR="009924FD" w:rsidRPr="001C363B" w14:paraId="5AEA8251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1C75F" w14:textId="77777777" w:rsidR="009924FD" w:rsidRPr="001C363B" w:rsidRDefault="009924FD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1C363B">
              <w:rPr>
                <w:rFonts w:ascii="Times New Roman" w:hAnsi="Times New Roman"/>
                <w:b/>
                <w:bCs/>
              </w:rPr>
              <w:t xml:space="preserve">Tanórák száma összesen: </w:t>
            </w:r>
            <w:r w:rsidRPr="001C363B">
              <w:rPr>
                <w:rFonts w:ascii="Times New Roman" w:hAnsi="Times New Roman"/>
              </w:rPr>
              <w:t>112 tanóra</w:t>
            </w:r>
          </w:p>
        </w:tc>
      </w:tr>
      <w:tr w:rsidR="009924FD" w:rsidRPr="001C363B" w14:paraId="2EE94E4D" w14:textId="77777777" w:rsidTr="00E85CA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65289" w14:textId="77777777" w:rsidR="009924FD" w:rsidRPr="001C363B" w:rsidRDefault="009924FD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C363B">
              <w:rPr>
                <w:rFonts w:ascii="Times New Roman" w:hAnsi="Times New Roman"/>
                <w:b/>
                <w:bCs/>
              </w:rPr>
              <w:t>Tanulmányi követelmények:</w:t>
            </w:r>
          </w:p>
        </w:tc>
      </w:tr>
      <w:tr w:rsidR="009924FD" w:rsidRPr="001C363B" w14:paraId="56DD397A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B59E" w14:textId="77777777" w:rsidR="009924FD" w:rsidRPr="001C363B" w:rsidRDefault="009924FD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C363B">
              <w:rPr>
                <w:rFonts w:ascii="Times New Roman" w:hAnsi="Times New Roman"/>
                <w:b/>
                <w:bCs/>
              </w:rPr>
              <w:t>Oktatási módszerek: prezentáció</w:t>
            </w:r>
          </w:p>
        </w:tc>
      </w:tr>
      <w:tr w:rsidR="009924FD" w:rsidRPr="001C363B" w14:paraId="223AD14F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D74E" w14:textId="77777777" w:rsidR="009924FD" w:rsidRPr="001C363B" w:rsidRDefault="009924FD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C363B">
              <w:rPr>
                <w:rFonts w:ascii="Times New Roman" w:hAnsi="Times New Roman"/>
                <w:b/>
                <w:bCs/>
              </w:rPr>
              <w:t>Javasolt tanulási módszerek: személyes megjelenés, konzultáció</w:t>
            </w:r>
          </w:p>
        </w:tc>
      </w:tr>
      <w:tr w:rsidR="009924FD" w:rsidRPr="001C363B" w14:paraId="576717CE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94D9" w14:textId="77777777" w:rsidR="009924FD" w:rsidRPr="001C363B" w:rsidRDefault="009924FD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C363B">
              <w:rPr>
                <w:rFonts w:ascii="Times New Roman" w:hAnsi="Times New Roman"/>
                <w:b/>
                <w:bCs/>
              </w:rPr>
              <w:t>A hallgató egyéni munkával megoldandó feladatainak száma: 1</w:t>
            </w:r>
          </w:p>
        </w:tc>
      </w:tr>
      <w:tr w:rsidR="009924FD" w:rsidRPr="001C363B" w14:paraId="5ED9C7C6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24E9" w14:textId="77777777" w:rsidR="009924FD" w:rsidRPr="001C363B" w:rsidRDefault="009924FD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C363B">
              <w:rPr>
                <w:rFonts w:ascii="Times New Roman" w:hAnsi="Times New Roman"/>
                <w:b/>
                <w:bCs/>
              </w:rPr>
              <w:t xml:space="preserve">Felhasználható fontosabb technikai és egyéb segédeszközök: </w:t>
            </w:r>
            <w:proofErr w:type="spellStart"/>
            <w:r w:rsidRPr="001C363B">
              <w:rPr>
                <w:rFonts w:ascii="Times New Roman" w:hAnsi="Times New Roman"/>
                <w:b/>
                <w:bCs/>
              </w:rPr>
              <w:t>kompjuter</w:t>
            </w:r>
            <w:proofErr w:type="spellEnd"/>
            <w:r w:rsidRPr="001C363B">
              <w:rPr>
                <w:rFonts w:ascii="Times New Roman" w:hAnsi="Times New Roman"/>
                <w:b/>
                <w:bCs/>
              </w:rPr>
              <w:t>-labor, laptop, fényképezőgép, internet</w:t>
            </w:r>
          </w:p>
        </w:tc>
      </w:tr>
      <w:tr w:rsidR="009924FD" w:rsidRPr="001C363B" w14:paraId="04E0D49F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1DB8E" w14:textId="77777777" w:rsidR="009924FD" w:rsidRPr="001C363B" w:rsidRDefault="009924FD" w:rsidP="00DE6501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C363B">
              <w:rPr>
                <w:rFonts w:ascii="Times New Roman" w:hAnsi="Times New Roman"/>
                <w:b/>
                <w:bCs/>
              </w:rPr>
              <w:t>Szabadon választható (az infrastrukturális adottságokat figyelembe véve) tárgyként meghirdetve a jelentkező hallgatók létszáma (a tárgyat kötelezően felvevő hallgatóval egy</w:t>
            </w:r>
            <w:r w:rsidR="00D06B8C" w:rsidRPr="001C363B">
              <w:rPr>
                <w:rFonts w:ascii="Times New Roman" w:hAnsi="Times New Roman"/>
                <w:b/>
                <w:bCs/>
              </w:rPr>
              <w:t xml:space="preserve">ütt): korlátozott:10 </w:t>
            </w:r>
            <w:r w:rsidRPr="001C363B">
              <w:rPr>
                <w:rFonts w:ascii="Times New Roman" w:hAnsi="Times New Roman"/>
                <w:b/>
                <w:bCs/>
              </w:rPr>
              <w:t>fő</w:t>
            </w:r>
          </w:p>
        </w:tc>
      </w:tr>
    </w:tbl>
    <w:p w14:paraId="404978CE" w14:textId="77777777" w:rsidR="009924FD" w:rsidRPr="00366014" w:rsidRDefault="009924FD" w:rsidP="00366014">
      <w:pPr>
        <w:widowControl w:val="0"/>
        <w:autoSpaceDE w:val="0"/>
        <w:autoSpaceDN w:val="0"/>
        <w:adjustRightInd w:val="0"/>
        <w:spacing w:after="0" w:line="240" w:lineRule="auto"/>
        <w:ind w:firstLine="240"/>
        <w:jc w:val="both"/>
        <w:rPr>
          <w:rFonts w:ascii="Times New Roman" w:hAnsi="Times New Roman"/>
          <w:color w:val="000000"/>
          <w:sz w:val="16"/>
          <w:szCs w:val="16"/>
        </w:rPr>
      </w:pPr>
    </w:p>
    <w:sectPr w:rsidR="009924FD" w:rsidRPr="00366014" w:rsidSect="001C363B">
      <w:footerReference w:type="default" r:id="rId7"/>
      <w:pgSz w:w="12240" w:h="15840"/>
      <w:pgMar w:top="993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C18AE" w14:textId="77777777" w:rsidR="00061017" w:rsidRDefault="00061017" w:rsidP="00366014">
      <w:pPr>
        <w:spacing w:after="0" w:line="240" w:lineRule="auto"/>
      </w:pPr>
      <w:r>
        <w:separator/>
      </w:r>
    </w:p>
  </w:endnote>
  <w:endnote w:type="continuationSeparator" w:id="0">
    <w:p w14:paraId="33798BF4" w14:textId="77777777" w:rsidR="00061017" w:rsidRDefault="00061017" w:rsidP="00366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6B9DD" w14:textId="77777777" w:rsidR="00504357" w:rsidRDefault="00504357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85CA5">
      <w:rPr>
        <w:noProof/>
      </w:rPr>
      <w:t>3</w:t>
    </w:r>
    <w:r>
      <w:rPr>
        <w:noProof/>
      </w:rPr>
      <w:fldChar w:fldCharType="end"/>
    </w:r>
  </w:p>
  <w:p w14:paraId="7DA52B66" w14:textId="77777777" w:rsidR="00504357" w:rsidRDefault="0050435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FCF05" w14:textId="77777777" w:rsidR="00061017" w:rsidRDefault="00061017" w:rsidP="00366014">
      <w:pPr>
        <w:spacing w:after="0" w:line="240" w:lineRule="auto"/>
      </w:pPr>
      <w:r>
        <w:separator/>
      </w:r>
    </w:p>
  </w:footnote>
  <w:footnote w:type="continuationSeparator" w:id="0">
    <w:p w14:paraId="1DC8F9AC" w14:textId="77777777" w:rsidR="00061017" w:rsidRDefault="00061017" w:rsidP="003660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6014"/>
    <w:rsid w:val="00061017"/>
    <w:rsid w:val="000F4D97"/>
    <w:rsid w:val="00110CC5"/>
    <w:rsid w:val="001C363B"/>
    <w:rsid w:val="002232B8"/>
    <w:rsid w:val="00301659"/>
    <w:rsid w:val="00366014"/>
    <w:rsid w:val="0047614F"/>
    <w:rsid w:val="00493F02"/>
    <w:rsid w:val="004B31B5"/>
    <w:rsid w:val="00504357"/>
    <w:rsid w:val="00631AD1"/>
    <w:rsid w:val="0073265F"/>
    <w:rsid w:val="008F62B7"/>
    <w:rsid w:val="009924FD"/>
    <w:rsid w:val="00A22D4B"/>
    <w:rsid w:val="00BF6423"/>
    <w:rsid w:val="00D06B8C"/>
    <w:rsid w:val="00D66461"/>
    <w:rsid w:val="00DE6501"/>
    <w:rsid w:val="00E85CA5"/>
    <w:rsid w:val="00EB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29163A"/>
  <w14:defaultImageDpi w14:val="0"/>
  <w15:chartTrackingRefBased/>
  <w15:docId w15:val="{CA6A0F7A-0456-4961-9D74-8779B462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660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66014"/>
  </w:style>
  <w:style w:type="paragraph" w:styleId="llb">
    <w:name w:val="footer"/>
    <w:basedOn w:val="Norml"/>
    <w:link w:val="llbChar"/>
    <w:uiPriority w:val="99"/>
    <w:unhideWhenUsed/>
    <w:rsid w:val="0036601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66014"/>
  </w:style>
  <w:style w:type="character" w:styleId="Hiperhivatkozs">
    <w:name w:val="Hyperlink"/>
    <w:uiPriority w:val="99"/>
    <w:unhideWhenUsed/>
    <w:rsid w:val="00110C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lkon.hu/archiv/2007/2007_11_12/01fordulat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1159</Words>
  <Characters>8001</Characters>
  <Application>Microsoft Office Word</Application>
  <DocSecurity>0</DocSecurity>
  <Lines>66</Lines>
  <Paragraphs>18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c3</Company>
  <LinksUpToDate>false</LinksUpToDate>
  <CharactersWithSpaces>9142</CharactersWithSpaces>
  <SharedDoc>false</SharedDoc>
  <HLinks>
    <vt:vector size="6" baseType="variant">
      <vt:variant>
        <vt:i4>458755</vt:i4>
      </vt:variant>
      <vt:variant>
        <vt:i4>0</vt:i4>
      </vt:variant>
      <vt:variant>
        <vt:i4>0</vt:i4>
      </vt:variant>
      <vt:variant>
        <vt:i4>5</vt:i4>
      </vt:variant>
      <vt:variant>
        <vt:lpwstr>http://www.balkon.hu/archiv/2007/2007_11_12/01fordulat.html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Peternák Miklós</dc:creator>
  <cp:keywords/>
  <cp:lastModifiedBy>Pongó Istvánné</cp:lastModifiedBy>
  <cp:revision>2</cp:revision>
  <cp:lastPrinted>2017-05-16T10:50:00Z</cp:lastPrinted>
  <dcterms:created xsi:type="dcterms:W3CDTF">2021-01-02T15:25:00Z</dcterms:created>
  <dcterms:modified xsi:type="dcterms:W3CDTF">2021-01-02T15:25:00Z</dcterms:modified>
</cp:coreProperties>
</file>