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24"/>
          <w:szCs w:val="24"/>
          <w:u w:val="none"/>
          <w:shd w:fill="auto" w:val="clear"/>
          <w:vertAlign w:val="baseline"/>
          <w:rtl w:val="0"/>
        </w:rPr>
        <w:t xml:space="preserve">TANTÁRGYLEÍRÁS ÉS HETI TEMATIKA</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94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807"/>
        <w:gridCol w:w="2691"/>
        <w:tblGridChange w:id="0">
          <w:tblGrid>
            <w:gridCol w:w="6807"/>
            <w:gridCol w:w="2691"/>
          </w:tblGrid>
        </w:tblGridChange>
      </w:tblGrid>
      <w:tr>
        <w:trPr>
          <w:cantSplit w:val="0"/>
          <w:trHeight w:val="368" w:hRule="atLeast"/>
          <w:tblHeader w:val="0"/>
        </w:trPr>
        <w:tc>
          <w:tcPr>
            <w:tcBorders>
              <w:top w:color="000000" w:space="0" w:sz="4" w:val="single"/>
              <w:left w:color="000000" w:space="0" w:sz="4" w:val="single"/>
              <w:right w:color="000000" w:space="0" w:sz="4" w:val="single"/>
            </w:tcBorders>
            <w:tcMar>
              <w:top w:w="57.0" w:type="dxa"/>
              <w:bottom w:w="57.0" w:type="dxa"/>
            </w:tcMar>
            <w:vAlign w:val="top"/>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Tantárgy neve: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Site Specific Art Work and Interventions in Public Space</w:t>
            </w:r>
          </w:p>
        </w:tc>
        <w:tc>
          <w:tcPr>
            <w:tcBorders>
              <w:top w:color="000000" w:space="0" w:sz="4" w:val="single"/>
              <w:left w:color="000000" w:space="0" w:sz="4" w:val="single"/>
              <w:right w:color="000000" w:space="0" w:sz="4" w:val="single"/>
            </w:tcBorders>
            <w:tcMar>
              <w:top w:w="57.0" w:type="dxa"/>
              <w:bottom w:w="57.0" w:type="dxa"/>
            </w:tcMar>
            <w:vAlign w:val="top"/>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Kreditértéke: 6</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57.0" w:type="dxa"/>
              <w:bottom w:w="57.0" w:type="dxa"/>
            </w:tcMar>
            <w:vAlign w:val="top"/>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 tantárgy elméleti vagy gyakorlati jellegének mértéke, „képzési karaktere”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br w:type="textWrapping"/>
            </w:r>
            <w:r w:rsidDel="00000000" w:rsidR="00000000" w:rsidRPr="00000000">
              <w:rPr>
                <w:rFonts w:ascii="Times New Roman" w:cs="Times New Roman" w:eastAsia="Times New Roman" w:hAnsi="Times New Roman"/>
                <w:sz w:val="22"/>
                <w:szCs w:val="22"/>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kurzus által tárgyalt művészeti terüle</w:t>
            </w:r>
            <w:r w:rsidDel="00000000" w:rsidR="00000000" w:rsidRPr="00000000">
              <w:rPr>
                <w:rFonts w:ascii="Times New Roman" w:cs="Times New Roman" w:eastAsia="Times New Roman" w:hAnsi="Times New Roman"/>
                <w:sz w:val="22"/>
                <w:szCs w:val="22"/>
                <w:rtl w:val="0"/>
              </w:rPr>
              <w:t xml:space="preserve">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ismertetése az alapvető ter</w:t>
            </w:r>
            <w:r w:rsidDel="00000000" w:rsidR="00000000" w:rsidRPr="00000000">
              <w:rPr>
                <w:rFonts w:ascii="Times New Roman" w:cs="Times New Roman" w:eastAsia="Times New Roman" w:hAnsi="Times New Roman"/>
                <w:sz w:val="22"/>
                <w:szCs w:val="22"/>
                <w:rtl w:val="0"/>
              </w:rPr>
              <w:t xml:space="preserve">minológia áttekintésével, az adott feladatokra készített tervek kollektív, kritikai értékelése. </w:t>
            </w:r>
            <w:r w:rsidDel="00000000" w:rsidR="00000000" w:rsidRPr="00000000">
              <w:rPr>
                <w:rtl w:val="0"/>
              </w:rPr>
            </w:r>
          </w:p>
        </w:tc>
      </w:tr>
      <w:tr>
        <w:trPr>
          <w:cantSplit w:val="0"/>
          <w:tblHeader w:val="0"/>
        </w:trPr>
        <w:tc>
          <w:tcPr>
            <w:gridSpan w:val="2"/>
            <w:tcBorders>
              <w:top w:color="000000" w:space="0" w:sz="4" w:val="single"/>
              <w:left w:color="000000" w:space="0" w:sz="4" w:val="single"/>
              <w:right w:color="000000" w:space="0" w:sz="4" w:val="single"/>
            </w:tcBorders>
            <w:tcMar>
              <w:top w:w="57.0" w:type="dxa"/>
              <w:bottom w:w="57.0" w:type="dxa"/>
            </w:tcMar>
            <w:vAlign w:val="top"/>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tanóra típusa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gyakorlat,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nyelve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sz w:val="22"/>
                <w:szCs w:val="22"/>
                <w:rtl w:val="0"/>
              </w:rPr>
              <w:t xml:space="preserve">angol</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Az adott ismeret átadásában alkalmazandó további módok, jellemzők</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br w:type="textWrapping"/>
            </w:r>
            <w:r w:rsidDel="00000000" w:rsidR="00000000" w:rsidRPr="00000000">
              <w:rPr>
                <w:rFonts w:ascii="Times New Roman" w:cs="Times New Roman" w:eastAsia="Times New Roman" w:hAnsi="Times New Roman"/>
                <w:sz w:val="22"/>
                <w:szCs w:val="22"/>
                <w:rtl w:val="0"/>
              </w:rPr>
              <w:t xml:space="preserve">Kollektív konzultáció a diákok feladatokra készített terveiről, konkrét példák ismertetése és közös elemzése a nemzetközi kortárs művészeti életből merítve. </w:t>
            </w:r>
            <w:r w:rsidDel="00000000" w:rsidR="00000000" w:rsidRPr="00000000">
              <w:rPr>
                <w:rtl w:val="0"/>
              </w:rPr>
            </w:r>
          </w:p>
        </w:tc>
      </w:tr>
      <w:tr>
        <w:trPr>
          <w:cantSplit w:val="0"/>
          <w:tblHeader w:val="0"/>
        </w:trPr>
        <w:tc>
          <w:tcPr>
            <w:gridSpan w:val="2"/>
            <w:tcBorders>
              <w:left w:color="000000" w:space="0" w:sz="4" w:val="single"/>
              <w:right w:color="000000" w:space="0" w:sz="4" w:val="single"/>
            </w:tcBorders>
            <w:tcMar>
              <w:top w:w="57.0" w:type="dxa"/>
              <w:bottom w:w="57.0" w:type="dxa"/>
            </w:tcMar>
            <w:vAlign w:val="top"/>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számonkérés módja: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 tanév során </w:t>
            </w:r>
            <w:r w:rsidDel="00000000" w:rsidR="00000000" w:rsidRPr="00000000">
              <w:rPr>
                <w:rFonts w:ascii="Times New Roman" w:cs="Times New Roman" w:eastAsia="Times New Roman" w:hAnsi="Times New Roman"/>
                <w:sz w:val="22"/>
                <w:szCs w:val="22"/>
                <w:rtl w:val="0"/>
              </w:rPr>
              <w:t xml:space="preserve">kapott feladatok megoldásainak</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prezentáció</w:t>
            </w:r>
            <w:r w:rsidDel="00000000" w:rsidR="00000000" w:rsidRPr="00000000">
              <w:rPr>
                <w:rFonts w:ascii="Times New Roman" w:cs="Times New Roman" w:eastAsia="Times New Roman" w:hAnsi="Times New Roman"/>
                <w:sz w:val="22"/>
                <w:szCs w:val="22"/>
                <w:rtl w:val="0"/>
              </w:rPr>
              <w:t xml:space="preserve">i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Az ismeretellenőrzésben alkalmazandó további (sajátos) módok: </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egyéni feladatmegoldások kollektív kritikai elemzése, órán felvetett témákra adott egyéni válaszok</w:t>
            </w:r>
          </w:p>
        </w:tc>
      </w:tr>
      <w:tr>
        <w:trPr>
          <w:cantSplit w:val="0"/>
          <w:tblHeader w:val="0"/>
        </w:trPr>
        <w:tc>
          <w:tcPr>
            <w:gridSpan w:val="2"/>
            <w:tcBorders>
              <w:left w:color="000000" w:space="0" w:sz="4" w:val="single"/>
              <w:bottom w:color="000000" w:space="0" w:sz="4" w:val="single"/>
              <w:right w:color="000000" w:space="0" w:sz="4" w:val="single"/>
            </w:tcBorders>
            <w:tcMar>
              <w:top w:w="57.0" w:type="dxa"/>
              <w:bottom w:w="57.0" w:type="dxa"/>
            </w:tcMa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 tantárgy tantervi helye (hányadik félév):</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sz w:val="22"/>
                <w:szCs w:val="22"/>
                <w:rtl w:val="0"/>
              </w:rPr>
              <w:t xml:space="preserve">5-6</w:t>
            </w: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tcMar>
              <w:top w:w="57.0" w:type="dxa"/>
              <w:bottom w:w="57.0" w:type="dxa"/>
            </w:tcMa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Előtanulmányi feltételek:</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sz w:val="22"/>
                <w:szCs w:val="22"/>
                <w:rtl w:val="0"/>
              </w:rPr>
              <w:t xml:space="preserve">nincsen</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dotted"/>
              <w:right w:color="000000" w:space="0" w:sz="4" w:val="single"/>
            </w:tcBorders>
            <w:tcMar>
              <w:top w:w="57.0" w:type="dxa"/>
              <w:bottom w:w="57.0" w:type="dxa"/>
            </w:tcMa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Tantárgyleírás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az elsajátítandó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ismeretanyag tömör, ugyanakkor informáló leírása:</w:t>
            </w:r>
          </w:p>
          <w:p w:rsidR="00000000" w:rsidDel="00000000" w:rsidP="00000000" w:rsidRDefault="00000000" w:rsidRPr="00000000" w14:paraId="00000013">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course explores the different types of public space through functional, usage-based, cultural, power-related, and security-oriented perspectives. It examines what kind of physical and cultural contexts public spaces provide for artistic projects, and how they influence audience behavior and possible modes of interpretation.</w:t>
              <w:br w:type="textWrapping"/>
              <w:t xml:space="preserve">Students are introduced to key artistic forms and terms related to public space, including: site-specific art, public art vs. art in public space, intervention in public space, street action vs. flash mob, street art vs. graffiti, mural art, decoration and decorative art vs. conceptual or meaning-based art, land art vs. nature art, environment vs. environmental art, and participatory art.</w:t>
              <w:br w:type="textWrapping"/>
              <w:t xml:space="preserve">Throughout the course, concrete examples of these practices are presented and analyzed collectively from both an artistic and audience-centered perspective.</w:t>
              <w:br w:type="textWrapping"/>
              <w:t xml:space="preserve">Students develop project proposals in response to assigned tasks, which are then discussed and critically evaluated in group settings. Given the nature of the artistic field, the realization of the projects is not mandatory; however, it is encouraged and supported whenever possible.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sz w:val="22"/>
                <w:szCs w:val="22"/>
              </w:rPr>
            </w:pPr>
            <w:r w:rsidDel="00000000" w:rsidR="00000000" w:rsidRPr="00000000">
              <w:rPr>
                <w:rtl w:val="0"/>
              </w:rPr>
            </w:r>
          </w:p>
        </w:tc>
      </w:tr>
      <w:tr>
        <w:trPr>
          <w:cantSplit w:val="0"/>
          <w:tblHeader w:val="0"/>
        </w:trPr>
        <w:tc>
          <w:tcPr>
            <w:gridSpan w:val="2"/>
            <w:tcBorders>
              <w:left w:color="000000" w:space="0" w:sz="4" w:val="single"/>
              <w:bottom w:color="000000" w:space="0" w:sz="4" w:val="dotted"/>
              <w:right w:color="000000" w:space="0" w:sz="4" w:val="single"/>
            </w:tcBorders>
            <w:tcMar>
              <w:top w:w="57.0" w:type="dxa"/>
              <w:bottom w:w="57.0" w:type="dxa"/>
            </w:tcMar>
            <w:vAlign w:val="cente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8"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2-5</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legfontosabb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kötelező,</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illetve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ajánlott</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irodalom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(jegyzet, tankönyv) felsorolása bibliográfiai adatokkal (szerző, cím, kiadás adatai, (esetleg oldalak), ISBN)</w:t>
            </w:r>
          </w:p>
        </w:tc>
      </w:tr>
      <w:tr>
        <w:trPr>
          <w:cantSplit w:val="0"/>
          <w:tblHeader w:val="0"/>
        </w:trPr>
        <w:tc>
          <w:tcPr>
            <w:gridSpan w:val="2"/>
            <w:tcBorders>
              <w:top w:color="000000" w:space="0" w:sz="4" w:val="dotted"/>
              <w:left w:color="000000" w:space="0" w:sz="4" w:val="single"/>
              <w:bottom w:color="000000" w:space="0" w:sz="4" w:val="dotted"/>
              <w:right w:color="000000" w:space="0" w:sz="4" w:val="single"/>
            </w:tcBorders>
            <w:tcMar>
              <w:top w:w="57.0" w:type="dxa"/>
              <w:bottom w:w="57.0" w:type="dxa"/>
            </w:tcMar>
            <w:vAlign w:val="top"/>
          </w:tcPr>
          <w:p w:rsidR="00000000" w:rsidDel="00000000" w:rsidP="00000000" w:rsidRDefault="00000000" w:rsidRPr="00000000" w14:paraId="00000018">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Kötelező olvasmányok:</w:t>
            </w:r>
          </w:p>
          <w:p w:rsidR="00000000" w:rsidDel="00000000" w:rsidP="00000000" w:rsidRDefault="00000000" w:rsidRPr="00000000" w14:paraId="00000019">
            <w:pPr>
              <w:numPr>
                <w:ilvl w:val="0"/>
                <w:numId w:val="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Georges Perec: An Attempt at Exhausting a Place in Paris (https://www.are.na/block/1812597) </w:t>
            </w:r>
          </w:p>
          <w:p w:rsidR="00000000" w:rsidDel="00000000" w:rsidP="00000000" w:rsidRDefault="00000000" w:rsidRPr="00000000" w14:paraId="0000001A">
            <w:pPr>
              <w:numPr>
                <w:ilvl w:val="0"/>
                <w:numId w:val="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Ivan Chtcheglov: Formulary for a New Urbanism (https://www.bopsecrets.org/SI/Chtcheglov.htm)</w:t>
            </w:r>
            <w:r w:rsidDel="00000000" w:rsidR="00000000" w:rsidRPr="00000000">
              <w:rPr>
                <w:rtl w:val="0"/>
              </w:rPr>
            </w:r>
          </w:p>
        </w:tc>
      </w:tr>
      <w:tr>
        <w:trPr>
          <w:cantSplit w:val="0"/>
          <w:tblHeader w:val="0"/>
        </w:trPr>
        <w:tc>
          <w:tcPr>
            <w:gridSpan w:val="2"/>
            <w:tcBorders>
              <w:left w:color="000000" w:space="0" w:sz="4" w:val="single"/>
              <w:bottom w:color="000000" w:space="0" w:sz="4" w:val="dotted"/>
              <w:right w:color="000000" w:space="0" w:sz="4" w:val="single"/>
            </w:tcBorders>
            <w:tcMar>
              <w:top w:w="57.0" w:type="dxa"/>
              <w:bottom w:w="57.0" w:type="dxa"/>
            </w:tcMar>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Ajánlott általános irodalom:</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Lacy, Susan. Debated Territory: Toward a Critical Language for Public Art</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Lefebvre, Henri. On social space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Miles, Malcolm. The contradictions of public art</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O’Neill, Paul. “Three stages in the art of public participation: The relational, social and durational” in dérive 39 (2010) pp. 1-10</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Perec, Georges. The Street</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Ranciere, jacques. Problems and transformations in critical art (2004)</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Sassen, Saskia.  “Making Public Interventions in Today’s Massive Cities” in Static. Issue 04– Unaccommodated (The London Consortium: November 2006) pp. 1-8</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Rafael Schacter, author of "The World Atlas of Street Art and Graffiti", September, 2013; ISBN 9780300199420.</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Kwon, Miwon (2002). One Place After Another: Site-Specific Art and Locational Identity. Cambridge (Massachusetts), London: MIT. p. 3. </w:t>
            </w:r>
          </w:p>
        </w:tc>
      </w:tr>
      <w:tr>
        <w:trPr>
          <w:cantSplit w:val="0"/>
          <w:trHeight w:val="296" w:hRule="atLeast"/>
          <w:tblHeader w:val="0"/>
        </w:trPr>
        <w:tc>
          <w:tcPr>
            <w:gridSpan w:val="2"/>
            <w:tcBorders>
              <w:top w:color="000000" w:space="0" w:sz="4" w:val="dotted"/>
              <w:left w:color="000000" w:space="0" w:sz="4" w:val="single"/>
              <w:bottom w:color="000000" w:space="0" w:sz="4" w:val="single"/>
              <w:right w:color="000000" w:space="0" w:sz="4" w:val="single"/>
            </w:tcBorders>
            <w:tcMar>
              <w:top w:w="57.0" w:type="dxa"/>
              <w:bottom w:w="57.0" w:type="dxa"/>
            </w:tcMar>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Féléves tematika hetekre lebontott rövid ismertetése</w:t>
            </w:r>
            <w:r w:rsidDel="00000000" w:rsidR="00000000" w:rsidRPr="00000000">
              <w:rPr>
                <w:rtl w:val="0"/>
              </w:rPr>
            </w:r>
          </w:p>
          <w:tbl>
            <w:tblPr>
              <w:tblStyle w:val="Table2"/>
              <w:tblW w:w="92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53"/>
              <w:gridCol w:w="7719"/>
              <w:tblGridChange w:id="0">
                <w:tblGrid>
                  <w:gridCol w:w="1553"/>
                  <w:gridCol w:w="7719"/>
                </w:tblGrid>
              </w:tblGridChange>
            </w:tblGrid>
            <w:tr>
              <w:trPr>
                <w:cantSplit w:val="0"/>
                <w:tblHeader w:val="0"/>
              </w:trPr>
              <w:tc>
                <w:tcPr>
                  <w:vAlign w:val="top"/>
                </w:tcPr>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hét</w:t>
                  </w:r>
                </w:p>
              </w:tc>
              <w:tc>
                <w:tcPr>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Familiarization with the relevant art forms and terminology through concrete examples.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hét</w:t>
                  </w:r>
                </w:p>
              </w:tc>
              <w:tc>
                <w:tcPr>
                  <w:vAlign w:val="top"/>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Discussion: what is public space, functions, behaviours, cultural meaning, as context for artworks. </w:t>
                    <w:br w:type="textWrapping"/>
                    <w:t xml:space="preserve">Individual Exercise 1/5. The poetry of the billboards</w:t>
                  </w:r>
                </w:p>
              </w:tc>
            </w:tr>
            <w:tr>
              <w:trPr>
                <w:cantSplit w:val="0"/>
                <w:tblHeader w:val="0"/>
              </w:trPr>
              <w:tc>
                <w:tcPr>
                  <w:vAlign w:val="top"/>
                </w:tcPr>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hét</w:t>
                  </w:r>
                </w:p>
              </w:tc>
              <w:tc>
                <w:tcPr>
                  <w:vAlign w:val="top"/>
                </w:tcPr>
                <w:p w:rsidR="00000000" w:rsidDel="00000000" w:rsidP="00000000" w:rsidRDefault="00000000" w:rsidRPr="00000000" w14:paraId="0000002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Texts on the streets, by authorities, by companies, by individuals, by graffiti writers and by artists (Jeni Holzer, Lawrence Weiner, Nathan Coley, etc.)</w:t>
                    <w:br w:type="textWrapping"/>
                    <w:t xml:space="preserve">Individual Exercise 2/5.  What would you write on what surface?</w:t>
                  </w:r>
                </w:p>
              </w:tc>
            </w:tr>
            <w:tr>
              <w:trPr>
                <w:cantSplit w:val="0"/>
                <w:tblHeader w:val="0"/>
              </w:trPr>
              <w:tc>
                <w:tcPr>
                  <w:vAlign w:val="top"/>
                </w:tcPr>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hét</w:t>
                  </w:r>
                </w:p>
              </w:tc>
              <w:tc>
                <w:tcPr>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Simple artistic interventions in public space, analysis of examples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Individual Exercise 3/5.  Observation of a public place</w:t>
                  </w:r>
                </w:p>
              </w:tc>
            </w:tr>
            <w:tr>
              <w:trPr>
                <w:cantSplit w:val="0"/>
                <w:tblHeader w:val="0"/>
              </w:trPr>
              <w:tc>
                <w:tcPr>
                  <w:vAlign w:val="top"/>
                </w:tcPr>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hét</w:t>
                  </w:r>
                </w:p>
              </w:tc>
              <w:tc>
                <w:tcPr>
                  <w:vAlign w:val="top"/>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Comparison of long-term site-specific art projects (Artwall Prague; The fourth plinth, London; Ringturm, Vienna) </w:t>
                    <w:br w:type="textWrapping"/>
                    <w:t xml:space="preserve">Individual Exercise 4/5.  Proposal of an art project in public space</w:t>
                  </w:r>
                </w:p>
              </w:tc>
            </w:tr>
            <w:tr>
              <w:trPr>
                <w:cantSplit w:val="0"/>
                <w:tblHeader w:val="0"/>
              </w:trPr>
              <w:tc>
                <w:tcPr>
                  <w:vAlign w:val="top"/>
                </w:tcPr>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hét</w:t>
                  </w:r>
                </w:p>
              </w:tc>
              <w:tc>
                <w:tcPr>
                  <w:vAlign w:val="top"/>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Site specific art and architecture (Gordon Matta Clark,  Rachel Whitheread, etc.)</w:t>
                    <w:br w:type="textWrapping"/>
                    <w:t xml:space="preserve">Individual Exercise 5/5.  What do you put behind a public peephole?</w:t>
                  </w:r>
                </w:p>
              </w:tc>
            </w:tr>
            <w:tr>
              <w:trPr>
                <w:cantSplit w:val="0"/>
                <w:tblHeader w:val="0"/>
              </w:trPr>
              <w:tc>
                <w:tcPr>
                  <w:vAlign w:val="top"/>
                </w:tcPr>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hét</w:t>
                  </w:r>
                </w:p>
              </w:tc>
              <w:tc>
                <w:tcPr>
                  <w:vAlign w:val="top"/>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Body in public space, street actions (Valie Export, Francis Alÿs, Roman Ondak)</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2"/>
                      <w:szCs w:val="22"/>
                      <w:u w:val="none"/>
                      <w:shd w:fill="auto" w:val="clear"/>
                      <w:vertAlign w:val="baseline"/>
                      <w:rtl w:val="0"/>
                    </w:rPr>
                    <w:t xml:space="preserve">hét</w:t>
                  </w:r>
                </w:p>
              </w:tc>
              <w:tc>
                <w:tcPr>
                  <w:vAlign w:val="top"/>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2"/>
                      <w:szCs w:val="22"/>
                      <w:u w:val="none"/>
                      <w:shd w:fill="auto" w:val="clear"/>
                      <w:vertAlign w:val="baseline"/>
                      <w:rtl w:val="0"/>
                    </w:rPr>
                    <w:t xml:space="preserve">ŐSZI SZÜNET</w:t>
                  </w:r>
                </w:p>
              </w:tc>
            </w:tr>
            <w:tr>
              <w:trPr>
                <w:cantSplit w:val="0"/>
                <w:tblHeader w:val="0"/>
              </w:trPr>
              <w:tc>
                <w:tcPr>
                  <w:vAlign w:val="top"/>
                </w:tcPr>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hét</w:t>
                  </w:r>
                </w:p>
              </w:tc>
              <w:tc>
                <w:tcPr>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Special memorials (Stolpersteine, stumbling stones memorial project; Eleven emlékmű, Johan Gerz:The Monument Against Fascism; etc.)</w:t>
                    <w:br w:type="textWrapping"/>
                    <w:t xml:space="preserve">Evaluation of project proposals submitted for assignments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hét</w:t>
                  </w:r>
                </w:p>
              </w:tc>
              <w:tc>
                <w:tcPr>
                  <w:vAlign w:val="top"/>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Public use and détournement of public artworks, vandalism</w:t>
                    <w:br w:type="textWrapping"/>
                    <w:t xml:space="preserve">Evaluation of project proposals submitted for assignments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hét</w:t>
                  </w:r>
                </w:p>
              </w:tc>
              <w:tc>
                <w:tcPr>
                  <w:vAlign w:val="top"/>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Hungarian examples from the neo-avantgarde till the contemporary works (polifonia, Moszkva tér, Placc, Flaszter, Hints, etc.)</w:t>
                    <w:br w:type="textWrapping"/>
                    <w:t xml:space="preserve">Evaluation of project proposals submitted for assignments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hét</w:t>
                  </w:r>
                </w:p>
              </w:tc>
              <w:tc>
                <w:tcPr>
                  <w:vAlign w:val="top"/>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Examples from the Skulptur Projekte Münster</w:t>
                    <w:br w:type="textWrapping"/>
                    <w:t xml:space="preserve">Evaluation of project proposals submitted for assignments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hét</w:t>
                  </w:r>
                </w:p>
              </w:tc>
              <w:tc>
                <w:tcPr>
                  <w:vAlign w:val="top"/>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Environmental and ecological art project (Josef Beuys, Agnes Denes, Herman de Vries, etc.)</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Evaluation of project proposals submitted for assignments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hét</w:t>
                  </w:r>
                </w:p>
              </w:tc>
              <w:tc>
                <w:tcPr>
                  <w:vAlign w:val="top"/>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Examples of participatory art projects (Endre Tót, Zero Demo; Thomas Hirschhorn,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Memorials; Technika Sweiz and Katarina Sevic; etc.)</w:t>
                    <w:br w:type="textWrapping"/>
                    <w:t xml:space="preserve">Evaluation of project proposals submitted for assignments </w:t>
                  </w:r>
                  <w:r w:rsidDel="00000000" w:rsidR="00000000" w:rsidRPr="00000000">
                    <w:rPr>
                      <w:rtl w:val="0"/>
                    </w:rPr>
                  </w:r>
                </w:p>
              </w:tc>
            </w:tr>
          </w:tb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38" w:hRule="atLeast"/>
          <w:tblHeader w:val="0"/>
        </w:trPr>
        <w:tc>
          <w:tcPr>
            <w:gridSpan w:val="2"/>
            <w:tcMar>
              <w:top w:w="57.0" w:type="dxa"/>
              <w:bottom w:w="57.0" w:type="dxa"/>
            </w:tcMar>
            <w:vAlign w:val="top"/>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Tantárgy felelőse:</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Kaszás Tamás</w:t>
            </w:r>
          </w:p>
        </w:tc>
      </w:tr>
      <w:tr>
        <w:trPr>
          <w:cantSplit w:val="0"/>
          <w:trHeight w:val="337" w:hRule="atLeast"/>
          <w:tblHeader w:val="0"/>
        </w:trPr>
        <w:tc>
          <w:tcPr>
            <w:gridSpan w:val="2"/>
            <w:tcMar>
              <w:top w:w="57.0" w:type="dxa"/>
              <w:bottom w:w="57.0" w:type="dxa"/>
            </w:tcMar>
            <w:vAlign w:val="top"/>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Tantárgy oktatásába bevont oktató(k) és elérhetősége(ik):</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br w:type="textWrapping"/>
            </w:r>
            <w:r w:rsidDel="00000000" w:rsidR="00000000" w:rsidRPr="00000000">
              <w:rPr>
                <w:rFonts w:ascii="Times New Roman" w:cs="Times New Roman" w:eastAsia="Times New Roman" w:hAnsi="Times New Roman"/>
                <w:sz w:val="22"/>
                <w:szCs w:val="22"/>
                <w:rtl w:val="0"/>
              </w:rPr>
              <w:t xml:space="preserve">Kaszás Tamás Tibor, </w:t>
            </w:r>
            <w:hyperlink r:id="rId7">
              <w:r w:rsidDel="00000000" w:rsidR="00000000" w:rsidRPr="00000000">
                <w:rPr>
                  <w:rFonts w:ascii="Times New Roman" w:cs="Times New Roman" w:eastAsia="Times New Roman" w:hAnsi="Times New Roman"/>
                  <w:color w:val="1155cc"/>
                  <w:sz w:val="22"/>
                  <w:szCs w:val="22"/>
                  <w:u w:val="single"/>
                  <w:rtl w:val="0"/>
                </w:rPr>
                <w:t xml:space="preserve">kaszas.tamas@mke.hu</w:t>
              </w:r>
            </w:hyperlink>
            <w:r w:rsidDel="00000000" w:rsidR="00000000" w:rsidRPr="00000000">
              <w:rPr>
                <w:rFonts w:ascii="Times New Roman" w:cs="Times New Roman" w:eastAsia="Times New Roman" w:hAnsi="Times New Roman"/>
                <w:sz w:val="22"/>
                <w:szCs w:val="22"/>
                <w:rtl w:val="0"/>
              </w:rPr>
              <w:t xml:space="preserve">, 06703864322</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337" w:hRule="atLeast"/>
          <w:tblHeader w:val="0"/>
        </w:trPr>
        <w:tc>
          <w:tcPr>
            <w:gridSpan w:val="2"/>
            <w:tcMar>
              <w:top w:w="57.0" w:type="dxa"/>
              <w:bottom w:w="57.0" w:type="dxa"/>
            </w:tcMar>
            <w:vAlign w:val="top"/>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 tantárgy tanításának időpontja/helyszíne: </w:t>
            </w: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minden csütörtök 12:30 - 14:00 / Intermédia Tanszék, 12. terem</w:t>
            </w:r>
            <w:r w:rsidDel="00000000" w:rsidR="00000000" w:rsidRPr="00000000">
              <w:rPr>
                <w:rtl w:val="0"/>
              </w:rPr>
            </w:r>
          </w:p>
        </w:tc>
      </w:tr>
      <w:tr>
        <w:trPr>
          <w:cantSplit w:val="0"/>
          <w:trHeight w:val="337" w:hRule="atLeast"/>
          <w:tblHeader w:val="0"/>
        </w:trPr>
        <w:tc>
          <w:tcPr>
            <w:gridSpan w:val="2"/>
            <w:tcMar>
              <w:top w:w="57.0" w:type="dxa"/>
              <w:bottom w:w="57.0" w:type="dxa"/>
            </w:tcMar>
            <w:vAlign w:val="top"/>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Tantárgykódja: </w:t>
            </w:r>
            <w:r w:rsidDel="00000000" w:rsidR="00000000" w:rsidRPr="00000000">
              <w:rPr>
                <w:rFonts w:ascii="Verdana" w:cs="Verdana" w:eastAsia="Verdana" w:hAnsi="Verdana"/>
                <w:b w:val="1"/>
                <w:bCs w:val="1"/>
                <w:color w:val="525659"/>
                <w:sz w:val="17"/>
                <w:szCs w:val="17"/>
                <w:highlight w:val="white"/>
                <w:rtl w:val="0"/>
              </w:rPr>
              <w:t xml:space="preserve">INM-SISP01</w:t>
            </w:r>
            <w:r w:rsidDel="00000000" w:rsidR="00000000" w:rsidRPr="00000000">
              <w:rPr>
                <w:rtl w:val="0"/>
              </w:rPr>
            </w:r>
          </w:p>
        </w:tc>
      </w:tr>
      <w:tr>
        <w:trPr>
          <w:cantSplit w:val="0"/>
          <w:trHeight w:val="337" w:hRule="atLeast"/>
          <w:tblHeader w:val="0"/>
        </w:trPr>
        <w:tc>
          <w:tcPr>
            <w:gridSpan w:val="2"/>
            <w:tcMar>
              <w:top w:w="57.0" w:type="dxa"/>
              <w:bottom w:w="57.0" w:type="dxa"/>
            </w:tcMar>
            <w:vAlign w:val="top"/>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Felelős tanszéke: </w:t>
            </w:r>
            <w:r w:rsidDel="00000000" w:rsidR="00000000" w:rsidRPr="00000000">
              <w:rPr>
                <w:rFonts w:ascii="Times New Roman" w:cs="Times New Roman" w:eastAsia="Times New Roman" w:hAnsi="Times New Roman"/>
                <w:sz w:val="22"/>
                <w:szCs w:val="22"/>
                <w:rtl w:val="0"/>
              </w:rPr>
              <w:t xml:space="preserve"> Intermédia tsz.</w:t>
            </w:r>
            <w:r w:rsidDel="00000000" w:rsidR="00000000" w:rsidRPr="00000000">
              <w:rPr>
                <w:rtl w:val="0"/>
              </w:rPr>
            </w:r>
          </w:p>
        </w:tc>
      </w:tr>
      <w:tr>
        <w:trPr>
          <w:cantSplit w:val="0"/>
          <w:trHeight w:val="337" w:hRule="atLeast"/>
          <w:tblHeader w:val="0"/>
        </w:trPr>
        <w:tc>
          <w:tcPr>
            <w:gridSpan w:val="2"/>
            <w:tcMar>
              <w:top w:w="57.0" w:type="dxa"/>
              <w:bottom w:w="57.0" w:type="dxa"/>
            </w:tcMar>
            <w:vAlign w:val="top"/>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Képzési idő szemeszterekben: </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w:t>
            </w:r>
          </w:p>
        </w:tc>
      </w:tr>
      <w:tr>
        <w:trPr>
          <w:cantSplit w:val="0"/>
          <w:trHeight w:val="337" w:hRule="atLeast"/>
          <w:tblHeader w:val="0"/>
        </w:trPr>
        <w:tc>
          <w:tcPr>
            <w:gridSpan w:val="2"/>
            <w:tcMar>
              <w:top w:w="57.0" w:type="dxa"/>
              <w:bottom w:w="57.0" w:type="dxa"/>
            </w:tcMar>
            <w:vAlign w:val="top"/>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Tanórák száma összesen: </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14 x 2 = 28</w:t>
            </w:r>
            <w:r w:rsidDel="00000000" w:rsidR="00000000" w:rsidRPr="00000000">
              <w:rPr>
                <w:rtl w:val="0"/>
              </w:rPr>
            </w:r>
          </w:p>
        </w:tc>
      </w:tr>
      <w:tr>
        <w:trPr>
          <w:cantSplit w:val="0"/>
          <w:trHeight w:val="337" w:hRule="atLeast"/>
          <w:tblHeader w:val="0"/>
        </w:trPr>
        <w:tc>
          <w:tcPr>
            <w:gridSpan w:val="2"/>
            <w:tcMar>
              <w:top w:w="57.0" w:type="dxa"/>
              <w:bottom w:w="57.0" w:type="dxa"/>
            </w:tcMar>
            <w:vAlign w:val="top"/>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Tanulmányi követelmények:</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aktív jelenlét az órákon, feladatok elvégzése</w:t>
            </w:r>
            <w:r w:rsidDel="00000000" w:rsidR="00000000" w:rsidRPr="00000000">
              <w:rPr>
                <w:rtl w:val="0"/>
              </w:rPr>
            </w:r>
          </w:p>
        </w:tc>
      </w:tr>
      <w:tr>
        <w:trPr>
          <w:cantSplit w:val="0"/>
          <w:trHeight w:val="337" w:hRule="atLeast"/>
          <w:tblHeader w:val="0"/>
        </w:trPr>
        <w:tc>
          <w:tcPr>
            <w:gridSpan w:val="2"/>
            <w:tcMar>
              <w:top w:w="57.0" w:type="dxa"/>
              <w:bottom w:w="57.0" w:type="dxa"/>
            </w:tcMar>
            <w:vAlign w:val="top"/>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Oktatási módszerek: </w:t>
            </w:r>
            <w:r w:rsidDel="00000000" w:rsidR="00000000" w:rsidRPr="00000000">
              <w:rPr>
                <w:rFonts w:ascii="Times New Roman" w:cs="Times New Roman" w:eastAsia="Times New Roman" w:hAnsi="Times New Roman"/>
                <w:sz w:val="22"/>
                <w:szCs w:val="22"/>
                <w:rtl w:val="0"/>
              </w:rPr>
              <w:t xml:space="preserve">kollektív konzultáció a feladatmegoldásokról és kritikai műelemzés az oktató vezetésével </w:t>
            </w:r>
            <w:r w:rsidDel="00000000" w:rsidR="00000000" w:rsidRPr="00000000">
              <w:rPr>
                <w:rtl w:val="0"/>
              </w:rPr>
            </w:r>
          </w:p>
        </w:tc>
      </w:tr>
      <w:tr>
        <w:trPr>
          <w:cantSplit w:val="0"/>
          <w:trHeight w:val="337" w:hRule="atLeast"/>
          <w:tblHeader w:val="0"/>
        </w:trPr>
        <w:tc>
          <w:tcPr>
            <w:gridSpan w:val="2"/>
            <w:tcMar>
              <w:top w:w="57.0" w:type="dxa"/>
              <w:bottom w:w="57.0" w:type="dxa"/>
            </w:tcMar>
            <w:vAlign w:val="top"/>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Javasolt tanulási módszerek: </w:t>
            </w:r>
            <w:r w:rsidDel="00000000" w:rsidR="00000000" w:rsidRPr="00000000">
              <w:rPr>
                <w:rFonts w:ascii="Times New Roman" w:cs="Times New Roman" w:eastAsia="Times New Roman" w:hAnsi="Times New Roman"/>
                <w:sz w:val="22"/>
                <w:szCs w:val="22"/>
                <w:rtl w:val="0"/>
              </w:rPr>
              <w:t xml:space="preserve">a felvetett témák önálló kutatása (könyvtári és online források alapján), a kijelölt olvasmányok megismerése, kérdésfelvetések önálló kezdeményezése, kapcsolódó művészeti események és kiállítások rendszeres látogatása egyénileg</w:t>
            </w:r>
            <w:r w:rsidDel="00000000" w:rsidR="00000000" w:rsidRPr="00000000">
              <w:rPr>
                <w:rtl w:val="0"/>
              </w:rPr>
            </w:r>
          </w:p>
        </w:tc>
      </w:tr>
      <w:tr>
        <w:trPr>
          <w:cantSplit w:val="0"/>
          <w:trHeight w:val="337" w:hRule="atLeast"/>
          <w:tblHeader w:val="0"/>
        </w:trPr>
        <w:tc>
          <w:tcPr>
            <w:gridSpan w:val="2"/>
            <w:tcMar>
              <w:top w:w="57.0" w:type="dxa"/>
              <w:bottom w:w="57.0" w:type="dxa"/>
            </w:tcMar>
            <w:vAlign w:val="top"/>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 hallgató egyéni munkával megoldandó feladatainak száma: </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3-5</w:t>
            </w:r>
            <w:r w:rsidDel="00000000" w:rsidR="00000000" w:rsidRPr="00000000">
              <w:rPr>
                <w:rtl w:val="0"/>
              </w:rPr>
            </w:r>
          </w:p>
        </w:tc>
      </w:tr>
      <w:tr>
        <w:trPr>
          <w:cantSplit w:val="0"/>
          <w:trHeight w:val="337" w:hRule="atLeast"/>
          <w:tblHeader w:val="0"/>
        </w:trPr>
        <w:tc>
          <w:tcPr>
            <w:gridSpan w:val="2"/>
            <w:tcMar>
              <w:top w:w="57.0" w:type="dxa"/>
              <w:bottom w:w="57.0" w:type="dxa"/>
            </w:tcMar>
            <w:vAlign w:val="top"/>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Felhasználható fontosabb technikai és egyéb segédeszközök:</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sz w:val="22"/>
                <w:szCs w:val="22"/>
                <w:rtl w:val="0"/>
              </w:rPr>
              <w:t xml:space="preserve">Szabadon választható bármely hagyományos vagy új, illetve technikai médium ideértve a külömböző online elérhető alkalmazásokat és a mesterséges intelligenciát is.</w:t>
            </w:r>
          </w:p>
        </w:tc>
      </w:tr>
      <w:tr>
        <w:trPr>
          <w:cantSplit w:val="0"/>
          <w:trHeight w:val="337" w:hRule="atLeast"/>
          <w:tblHeader w:val="0"/>
        </w:trPr>
        <w:tc>
          <w:tcPr>
            <w:gridSpan w:val="2"/>
            <w:tcMar>
              <w:top w:w="57.0" w:type="dxa"/>
              <w:bottom w:w="57.0" w:type="dxa"/>
            </w:tcMar>
            <w:vAlign w:val="top"/>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Szabadon választható (az infrastrukturális adottságokat figyelembe véve) tárgyként meghirdetve a jelentkező hallgatók létszáma (a tárgyat kötelezően felvevő hallgatóval együtt):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nyitott, Erasmus program hallgatóinak elérhető, maximum 20 fő</w:t>
            </w:r>
            <w:r w:rsidDel="00000000" w:rsidR="00000000" w:rsidRPr="00000000">
              <w:rPr>
                <w:rtl w:val="0"/>
              </w:rPr>
            </w:r>
          </w:p>
        </w:tc>
      </w:tr>
    </w:tbl>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sectPr>
      <w:footerReference r:id="rId8" w:type="default"/>
      <w:pgSz w:h="16838" w:w="11906" w:orient="portrait"/>
      <w:pgMar w:bottom="1276" w:top="993"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h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ál">
    <w:name w:val="Normál"/>
    <w:next w:val="Normál"/>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effect w:val="none"/>
      <w:vertAlign w:val="baseline"/>
      <w:cs w:val="0"/>
      <w:em w:val="none"/>
      <w:lang w:bidi="ar-SA" w:eastAsia="hu-HU" w:val="hu-HU"/>
    </w:rPr>
  </w:style>
  <w:style w:type="character" w:styleId="Bekezdésalapbetűtípusa">
    <w:name w:val="Bekezdés alapbetűtípusa"/>
    <w:next w:val="Bekezdésalapbetűtípusa"/>
    <w:autoRedefine w:val="0"/>
    <w:hidden w:val="0"/>
    <w:qFormat w:val="1"/>
    <w:rPr>
      <w:w w:val="100"/>
      <w:position w:val="-1"/>
      <w:effect w:val="none"/>
      <w:vertAlign w:val="baseline"/>
      <w:cs w:val="0"/>
      <w:em w:val="none"/>
      <w:lang/>
    </w:rPr>
  </w:style>
  <w:style w:type="table" w:styleId="Normáltáblázat">
    <w:name w:val="Normál táblázat"/>
    <w:next w:val="Normáltáblázat"/>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emlista">
    <w:name w:val="Nem lista"/>
    <w:next w:val="Nemlista"/>
    <w:autoRedefine w:val="0"/>
    <w:hidden w:val="0"/>
    <w:qFormat w:val="1"/>
    <w:pPr>
      <w:suppressAutoHyphens w:val="1"/>
      <w:spacing w:line="1" w:lineRule="atLeast"/>
      <w:ind w:leftChars="-1" w:rightChars="0" w:firstLineChars="-1"/>
      <w:textDirection w:val="btLr"/>
      <w:textAlignment w:val="top"/>
      <w:outlineLvl w:val="0"/>
    </w:pPr>
  </w:style>
  <w:style w:type="character" w:styleId="Lábjegyzet-hivatkozás">
    <w:name w:val="Lábjegyzet-hivatkozás"/>
    <w:next w:val="Lábjegyzet-hivatkozás"/>
    <w:autoRedefine w:val="0"/>
    <w:hidden w:val="0"/>
    <w:qFormat w:val="0"/>
    <w:rPr>
      <w:w w:val="100"/>
      <w:position w:val="-1"/>
      <w:effect w:val="none"/>
      <w:vertAlign w:val="superscript"/>
      <w:cs w:val="0"/>
      <w:em w:val="none"/>
      <w:lang/>
    </w:rPr>
  </w:style>
  <w:style w:type="paragraph" w:styleId="Lábjegyzetszöveg">
    <w:name w:val="Lábjegyzetszöveg"/>
    <w:basedOn w:val="Normál"/>
    <w:next w:val="Lábjegyzetszöveg"/>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effect w:val="none"/>
      <w:vertAlign w:val="baseline"/>
      <w:cs w:val="0"/>
      <w:em w:val="none"/>
      <w:lang w:bidi="ar-SA" w:eastAsia="hu-HU" w:val="hu-HU"/>
    </w:rPr>
  </w:style>
  <w:style w:type="character" w:styleId="LábjegyzetszövegChar">
    <w:name w:val="Lábjegyzetszöveg Char"/>
    <w:next w:val="LábjegyzetszövegChar"/>
    <w:autoRedefine w:val="0"/>
    <w:hidden w:val="0"/>
    <w:qFormat w:val="0"/>
    <w:rPr>
      <w:rFonts w:ascii="Times New Roman" w:cs="Times New Roman" w:eastAsia="Times New Roman" w:hAnsi="Times New Roman"/>
      <w:w w:val="100"/>
      <w:position w:val="-1"/>
      <w:sz w:val="20"/>
      <w:szCs w:val="20"/>
      <w:effect w:val="none"/>
      <w:vertAlign w:val="baseline"/>
      <w:cs w:val="0"/>
      <w:em w:val="none"/>
      <w:lang w:eastAsia="hu-HU"/>
    </w:rPr>
  </w:style>
  <w:style w:type="paragraph" w:styleId="CharChar1CharCharCharChar">
    <w:name w:val="Char Char1 Char Char Char Char"/>
    <w:basedOn w:val="Normál"/>
    <w:next w:val="CharChar1CharCharCharChar"/>
    <w:autoRedefine w:val="0"/>
    <w:hidden w:val="0"/>
    <w:qFormat w:val="0"/>
    <w:pPr>
      <w:suppressAutoHyphens w:val="1"/>
      <w:spacing w:after="160" w:line="240" w:lineRule="atLeast"/>
      <w:ind w:leftChars="-1" w:rightChars="0" w:firstLineChars="-1"/>
      <w:textDirection w:val="btLr"/>
      <w:textAlignment w:val="top"/>
      <w:outlineLvl w:val="0"/>
    </w:pPr>
    <w:rPr>
      <w:rFonts w:ascii="Tahoma" w:cs="Tahoma" w:eastAsia="Times New Roman" w:hAnsi="Tahoma"/>
      <w:w w:val="100"/>
      <w:position w:val="-1"/>
      <w:effect w:val="none"/>
      <w:vertAlign w:val="baseline"/>
      <w:cs w:val="0"/>
      <w:em w:val="none"/>
      <w:lang w:bidi="ar-SA" w:eastAsia="en-US" w:val="en-US"/>
    </w:rPr>
  </w:style>
  <w:style w:type="character" w:styleId="Hiperhivatkozás">
    <w:name w:val="Hiperhivatkozás"/>
    <w:next w:val="Hiperhivatkozás"/>
    <w:autoRedefine w:val="0"/>
    <w:hidden w:val="0"/>
    <w:qFormat w:val="1"/>
    <w:rPr>
      <w:color w:val="0000ff"/>
      <w:w w:val="100"/>
      <w:position w:val="-1"/>
      <w:u w:val="single"/>
      <w:effect w:val="none"/>
      <w:vertAlign w:val="baseline"/>
      <w:cs w:val="0"/>
      <w:em w:val="none"/>
      <w:lang/>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paragraph" w:styleId="Nincstérköz">
    <w:name w:val="Nincs térköz"/>
    <w:next w:val="Nincstérköz"/>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effect w:val="none"/>
      <w:vertAlign w:val="baseline"/>
      <w:cs w:val="0"/>
      <w:em w:val="none"/>
      <w:lang w:bidi="ar-SA" w:eastAsia="hu-HU" w:val="hu-HU"/>
    </w:rPr>
  </w:style>
  <w:style w:type="paragraph" w:styleId="Élőfej">
    <w:name w:val="Élőfej"/>
    <w:basedOn w:val="Normál"/>
    <w:next w:val="Élőfej"/>
    <w:autoRedefine w:val="0"/>
    <w:hidden w:val="0"/>
    <w:qFormat w:val="1"/>
    <w:pPr>
      <w:tabs>
        <w:tab w:val="center" w:leader="none" w:pos="4536"/>
        <w:tab w:val="right" w:leader="none" w:pos="9072"/>
      </w:tabs>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effect w:val="none"/>
      <w:vertAlign w:val="baseline"/>
      <w:cs w:val="0"/>
      <w:em w:val="none"/>
      <w:lang w:bidi="ar-SA" w:eastAsia="hu-HU" w:val="hu-HU"/>
    </w:rPr>
  </w:style>
  <w:style w:type="character" w:styleId="ÉlőfejChar">
    <w:name w:val="Élőfej Char"/>
    <w:next w:val="ÉlőfejChar"/>
    <w:autoRedefine w:val="0"/>
    <w:hidden w:val="0"/>
    <w:qFormat w:val="0"/>
    <w:rPr>
      <w:rFonts w:ascii="Times New Roman" w:eastAsia="Times New Roman" w:hAnsi="Times New Roman"/>
      <w:w w:val="100"/>
      <w:position w:val="-1"/>
      <w:effect w:val="none"/>
      <w:vertAlign w:val="baseline"/>
      <w:cs w:val="0"/>
      <w:em w:val="none"/>
      <w:lang/>
    </w:rPr>
  </w:style>
  <w:style w:type="paragraph" w:styleId="Élőláb">
    <w:name w:val="Élőláb"/>
    <w:basedOn w:val="Normál"/>
    <w:next w:val="Élőláb"/>
    <w:autoRedefine w:val="0"/>
    <w:hidden w:val="0"/>
    <w:qFormat w:val="1"/>
    <w:pPr>
      <w:tabs>
        <w:tab w:val="center" w:leader="none" w:pos="4536"/>
        <w:tab w:val="right" w:leader="none" w:pos="9072"/>
      </w:tabs>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effect w:val="none"/>
      <w:vertAlign w:val="baseline"/>
      <w:cs w:val="0"/>
      <w:em w:val="none"/>
      <w:lang w:bidi="ar-SA" w:eastAsia="hu-HU" w:val="hu-HU"/>
    </w:rPr>
  </w:style>
  <w:style w:type="character" w:styleId="ÉlőlábChar">
    <w:name w:val="Élőláb Char"/>
    <w:next w:val="ÉlőlábChar"/>
    <w:autoRedefine w:val="0"/>
    <w:hidden w:val="0"/>
    <w:qFormat w:val="0"/>
    <w:rPr>
      <w:rFonts w:ascii="Times New Roman" w:eastAsia="Times New Roman" w:hAnsi="Times New Roman"/>
      <w:w w:val="100"/>
      <w:position w:val="-1"/>
      <w:effect w:val="none"/>
      <w:vertAlign w:val="baseline"/>
      <w:cs w:val="0"/>
      <w:em w:val="none"/>
      <w:lang/>
    </w:rPr>
  </w:style>
  <w:style w:type="table" w:styleId="Rácsostáblázat">
    <w:name w:val="Rácsos táblázat"/>
    <w:basedOn w:val="Normáltáblázat"/>
    <w:next w:val="Rácsostáblázat"/>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Rácsostáblázat"/>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kaszas.tamas@mke.hu"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OLxObyKyTZuuZdEdl4IheCaF8g==">CgMxLjA4AHIhMUw3dW9XOTk1dThzaTl0MGozdjBFYlF2M19vdHpDVFBl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2025-02-16T14:19:00Z</dcterms:created>
  <dc:creator>Csőke Judit</dc:creator>
</cp:coreProperties>
</file>